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淮南市最低生活保障工作操作细则</w:t>
      </w:r>
    </w:p>
    <w:p>
      <w:pPr>
        <w:spacing w:line="560" w:lineRule="exact"/>
        <w:jc w:val="center"/>
        <w:rPr>
          <w:rFonts w:ascii="仿宋_GB2312" w:eastAsia="仿宋_GB2312"/>
          <w:sz w:val="32"/>
          <w:szCs w:val="32"/>
        </w:rPr>
      </w:pPr>
      <w:r>
        <w:rPr>
          <w:rFonts w:hint="eastAsia" w:ascii="仿宋_GB2312" w:hAnsi="黑体" w:eastAsia="仿宋_GB2312"/>
          <w:sz w:val="32"/>
          <w:szCs w:val="32"/>
        </w:rPr>
        <w:t>（征求意见稿）</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为进一步规范最低生活保障（以下简称低保）工作，根据《社会救助暂行办法》（国务院令第649号）、《民政部关于印发&lt;最低生活保障审核确认办法&gt;的通知》（民发〔2</w:t>
      </w:r>
      <w:r>
        <w:rPr>
          <w:rFonts w:ascii="仿宋_GB2312" w:eastAsia="仿宋_GB2312"/>
          <w:color w:val="000000" w:themeColor="text1"/>
          <w:sz w:val="32"/>
          <w:szCs w:val="32"/>
          <w14:textFill>
            <w14:solidFill>
              <w14:schemeClr w14:val="tx1"/>
            </w14:solidFill>
          </w14:textFill>
        </w:rPr>
        <w:t>021</w:t>
      </w:r>
      <w:r>
        <w:rPr>
          <w:rFonts w:hint="eastAsia" w:ascii="仿宋_GB2312" w:eastAsia="仿宋_GB2312"/>
          <w:color w:val="000000" w:themeColor="text1"/>
          <w:sz w:val="32"/>
          <w:szCs w:val="32"/>
          <w14:textFill>
            <w14:solidFill>
              <w14:schemeClr w14:val="tx1"/>
            </w14:solidFill>
          </w14:textFill>
        </w:rPr>
        <w:t>〕57号）、《安徽省最低生活保障办法》（省政府令268号）、《安徽省民政厅</w:t>
      </w:r>
      <w:r>
        <w:rPr>
          <w:rFonts w:ascii="仿宋_GB2312" w:eastAsia="仿宋_GB2312"/>
          <w:color w:val="000000" w:themeColor="text1"/>
          <w:sz w:val="32"/>
          <w:szCs w:val="32"/>
          <w14:textFill>
            <w14:solidFill>
              <w14:schemeClr w14:val="tx1"/>
            </w14:solidFill>
          </w14:textFill>
        </w:rPr>
        <w:t xml:space="preserve"> 安徽省财政厅关于印发〈安徽最低生活保障工作操作规程〉的通知》（皖民社救字〔2021〕76号）、《中共淮南市委办公室 淮南市人民政府办公室印发</w:t>
      </w:r>
      <w:r>
        <w:rPr>
          <w:rFonts w:hint="eastAsia" w:ascii="仿宋_GB2312" w:eastAsia="仿宋_GB2312"/>
          <w:color w:val="000000" w:themeColor="text1"/>
          <w:sz w:val="32"/>
          <w:szCs w:val="32"/>
          <w14:textFill>
            <w14:solidFill>
              <w14:schemeClr w14:val="tx1"/>
            </w14:solidFill>
          </w14:textFill>
        </w:rPr>
        <w:t>&lt;</w:t>
      </w:r>
      <w:r>
        <w:rPr>
          <w:rFonts w:ascii="仿宋_GB2312" w:eastAsia="仿宋_GB2312"/>
          <w:color w:val="000000" w:themeColor="text1"/>
          <w:sz w:val="32"/>
          <w:szCs w:val="32"/>
          <w14:textFill>
            <w14:solidFill>
              <w14:schemeClr w14:val="tx1"/>
            </w14:solidFill>
          </w14:textFill>
        </w:rPr>
        <w:t>关于改革完善社会救助制度的实施方案</w:t>
      </w:r>
      <w:r>
        <w:rPr>
          <w:rFonts w:hint="eastAsia" w:ascii="仿宋_GB2312" w:eastAsia="仿宋_GB2312"/>
          <w:color w:val="000000" w:themeColor="text1"/>
          <w:sz w:val="32"/>
          <w:szCs w:val="32"/>
          <w14:textFill>
            <w14:solidFill>
              <w14:schemeClr w14:val="tx1"/>
            </w14:solidFill>
          </w14:textFill>
        </w:rPr>
        <w:t>&gt;</w:t>
      </w:r>
      <w:r>
        <w:rPr>
          <w:rFonts w:ascii="仿宋_GB2312" w:eastAsia="仿宋_GB2312"/>
          <w:color w:val="000000" w:themeColor="text1"/>
          <w:sz w:val="32"/>
          <w:szCs w:val="32"/>
          <w14:textFill>
            <w14:solidFill>
              <w14:schemeClr w14:val="tx1"/>
            </w14:solidFill>
          </w14:textFill>
        </w:rPr>
        <w:t>的通知》（</w:t>
      </w:r>
      <w:r>
        <w:rPr>
          <w:rFonts w:hint="eastAsia" w:ascii="仿宋_GB2312" w:eastAsia="仿宋_GB2312"/>
          <w:color w:val="000000" w:themeColor="text1"/>
          <w:sz w:val="32"/>
          <w:szCs w:val="32"/>
          <w14:textFill>
            <w14:solidFill>
              <w14:schemeClr w14:val="tx1"/>
            </w14:solidFill>
          </w14:textFill>
        </w:rPr>
        <w:t>淮办发〔</w:t>
      </w:r>
      <w:r>
        <w:rPr>
          <w:rFonts w:ascii="仿宋_GB2312" w:eastAsia="仿宋_GB2312"/>
          <w:color w:val="000000" w:themeColor="text1"/>
          <w:sz w:val="32"/>
          <w:szCs w:val="32"/>
          <w14:textFill>
            <w14:solidFill>
              <w14:schemeClr w14:val="tx1"/>
            </w14:solidFill>
          </w14:textFill>
        </w:rPr>
        <w:t>2021〕17号）</w:t>
      </w:r>
      <w:r>
        <w:rPr>
          <w:rFonts w:hint="eastAsia" w:ascii="仿宋_GB2312" w:eastAsia="仿宋_GB2312"/>
          <w:color w:val="000000" w:themeColor="text1"/>
          <w:sz w:val="32"/>
          <w:szCs w:val="32"/>
          <w14:textFill>
            <w14:solidFill>
              <w14:schemeClr w14:val="tx1"/>
            </w14:solidFill>
          </w14:textFill>
        </w:rPr>
        <w:t>和其他有关政策规定，结合本市实际，制定本操作细则。</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第一章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总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则</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工作坚持保基本、可持续、重公正、求实效的方针，着力健全工作机制，严格规范管理，努力构建标准科学、对象准确、待遇公正、进出有序的工作格局，不断提高低保制度的科学性和执行力，切实维护困难群众基本生活权益。</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民政部门统筹做好本行政区域内低保工作，乡镇人民政府（街道办事处）负责低保的受理、初审和审核确认工作。村（居）民委员会协助做好相关工作。乡镇人民政府（街道办事处）应建立党（工）委领导、政府（办事处）负责，部门参与的低保联审联批制度，县级民政部门加强监督指导。</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开展低保工作，应当遵循以下原则：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（一）应保尽保。把保障困难群众基本生活放到更加突出的位置，落实政府责任，加大政府投入，加强部门协作，强化监督问责，确保把所有符合条件的困难群众全部纳入低保范围。</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（二）公平公正。健全低保法规制度，完善程序规定，畅通城乡居民的参与渠道，加大政策信息公开力度，做到确认过程公开透明，确认结果公平公正。</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（三）动态管理。采取低保对象定期报告和管理确认机关分类复核相结合等方法，加强对低保对象的日常管理和服务，切实做到保障对象有进有出、补助水平有升有降。</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（四）统筹兼顾。统筹城乡、区域和经济社会发展，做到低保标准与经济社会发展水平相适应，低保制度与其他社会保障制度相衔接，有效保障困难群众基本生活。</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保障对象和保障标准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户籍状况、家庭收入、家庭财产和家庭支出是确认低保对象的4个基本条件。</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持有我市常住户口的居民，凡共同生活的家庭成员人均收入低于我市低保标准，且家庭财产状况符合本细则规定条件的，通过审核确认程序，可以获得低保。</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第五条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共同生活的家庭成员包括：</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（一）配偶；</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（二）未成年子女；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（三）已成年但不能独立生活的子女，包括在校接受全日制本科及其以下学历教育的成年子女；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（四）其他具有法定赡养、抚养、扶养关系并长期共同居住的人员。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下列人员不计入共同生活的家庭成员：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（一）连续三年以上（含三年）脱离家庭独立生活的宗教教职人员；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（二）在监狱内服刑、在戒毒所强制隔离戒毒或者宣告失踪人员；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（三）县级民政部门规定的其他人员。</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拥有承包土地或者参加农村集体经济收益分配的家庭，原则上申请农村低保。实施异地搬迁至城镇地区的，可申请城市低保。</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低保标准由市政府根据我市居民生活必需的费用确定，从当年7月开始实施。低保标准调整后，各县区要及时、重新核实低保家庭经济状况，同步调整低保对象月人均补助水平。</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申请受理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低保工作程序按照居民申请，乡镇人民政府（街道办事处）受理、初审、审核确认的程序实施。</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申请低保以家庭为单位，由申请家庭确定一名共同生活的家庭成员作为申请人，向户籍所在地乡镇人民政府（街道办事处）提出书面申请，符合居住地办理条件的向实际居住地乡镇人民政府（街道办事处）提出书面申请；实施网上申请受理的地方，可以通过互联网提出申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共同生活的家庭成员申请有困难的，可以委托村（居）民委员会或者其他人代为提出申请。委托申请的，应当办理相应委托手续。</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乡镇人民政府（街道办事处）、村（居）民委员会在工作中发现困难家庭可能符合条件，但是未申请最低生活保障的，应当主动告知其共同生活的家庭成员相关政策。</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经常居住地和户籍所在地不在同一地区的人户分离家庭申请低保，分别按照以下情况处理：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（一）人户分离家庭具备户籍登记条件的，可将户籍迁至实际居住地后提出申请。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（二）户籍地和实际居住地在本市范围内不同乡镇人民政府（街道办事处），且在实际居住地长期居住（有自有房屋或租赁房屋的，租赁合同签订时间在6个月之前且合同期限在1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个月以上，无租赁合同的，需提交不少于连续6个月的房屋租赁费用交付证明）的人户分离家庭，向实际居住地乡镇人民政府（街道办事处）提出申请。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（三）其他人户分离家庭按照民政部及省民政厅相关规定执行。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低保审核确认、资金发放等工作由申请受理地县级民政部门和乡镇人民政府（街道办事处）负责，其他有关县级民政部门和乡镇人民政府（街道办事处）应当积极配合做好相关工作。</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符合下列情形之一的人员，可以单独提出申请：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（一）低保边缘家庭中的重度残疾人或患有医疗保障部门认定的重特大疾病的人员，残疾人本人或重病患者本人可单独提出申请，并全额获得低保待遇。</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（二）脱离家庭、在宗教场所居住三年以上（含三年）的生活困难的宗教教职人员；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（三）县级以上民政部门规定的其他特殊困难人员。</w:t>
      </w:r>
    </w:p>
    <w:p>
      <w:pPr>
        <w:spacing w:line="60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低保边缘家庭是指不符合低保、特困人员救助供养条件，家庭人均收入低于我市低保标准1.5倍，且财产状况符合相关规定的家庭。</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重度残疾人是指持有一、二级残疾证和三级智力残疾证、三级精神残疾证的人员。</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第十二条</w:t>
      </w:r>
      <w:r>
        <w:rPr>
          <w:rFonts w:ascii="仿宋_GB2312" w:eastAsia="仿宋_GB2312"/>
          <w:b/>
          <w:bCs/>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支出型困难家庭保障。对于共同生活的家庭成员人均收入超出我市低保标准，但因残疾、因病、因学等刚性支出过大，导致基本生活困难的家庭，在计算家庭收入时适当扣减刚性支出的自负部分。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支出型困难家庭在提出申请之月前</w:t>
      </w:r>
      <w:r>
        <w:rPr>
          <w:rFonts w:ascii="仿宋_GB2312" w:eastAsia="仿宋_GB2312"/>
          <w:color w:val="000000" w:themeColor="text1"/>
          <w:sz w:val="32"/>
          <w:szCs w:val="32"/>
          <w14:textFill>
            <w14:solidFill>
              <w14:schemeClr w14:val="tx1"/>
            </w14:solidFill>
          </w14:textFill>
        </w:rPr>
        <w:t>12个月家庭人均可支配收入低于上年度我市城乡居民人均可支配收入，且家庭可支配收入扣除家庭自负刚性支出后，月人均可支配收入低于我市低保标准的，可申请低保，其中财政供养人员不纳入低保。</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第十三条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申请低保，共同生活的家庭成员应如实填报家庭收入和家庭财产状况，承诺所提供的信息真实、完整，履行授权核查家庭经济状况的相关程序，并提供以下材料：户口簿、身份证原件，收支及财产情况声明，其他需要提供的有关材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乡镇人民政府（街道办事处）核对原件无误后退还原件给申请人留存复印件，对材料齐全、符合要求的申请应当予以受理；对材料不齐备的，应当书面一次性告知需要补充的材料；可以通过国家或地方政务服务平台查询获取的相关材料，不再要求重复提交。</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低保经办人员和村（居）民委员会成员近亲属申请低保的，需填写《安徽省低保经办人员和村（居）民委员会</w:t>
      </w:r>
      <w:r>
        <w:rPr>
          <w:rFonts w:hint="eastAsia" w:ascii="仿宋_GB2312" w:eastAsia="仿宋_GB2312"/>
          <w:color w:val="000000" w:themeColor="text1"/>
          <w:sz w:val="32"/>
          <w:szCs w:val="32"/>
          <w:lang w:val="en-US" w:eastAsia="zh-CN"/>
          <w14:textFill>
            <w14:solidFill>
              <w14:schemeClr w14:val="tx1"/>
            </w14:solidFill>
          </w14:textFill>
        </w:rPr>
        <w:t>干</w:t>
      </w:r>
      <w:r>
        <w:rPr>
          <w:rFonts w:hint="eastAsia" w:ascii="仿宋_GB2312" w:eastAsia="仿宋_GB2312"/>
          <w:color w:val="000000" w:themeColor="text1"/>
          <w:sz w:val="32"/>
          <w:szCs w:val="32"/>
          <w14:textFill>
            <w14:solidFill>
              <w14:schemeClr w14:val="tx1"/>
            </w14:solidFill>
          </w14:textFill>
        </w:rPr>
        <w:t>部近亲属获得低保备案登记表》，乡镇人民政府（街道办事处）应当进行单独登记、单独归类存档备查。</w:t>
      </w:r>
    </w:p>
    <w:p>
      <w:pPr>
        <w:spacing w:line="560" w:lineRule="exact"/>
        <w:rPr>
          <w:rFonts w:ascii="仿宋_GB2312" w:eastAsia="仿宋_GB2312"/>
          <w:color w:val="000000" w:themeColor="text1"/>
          <w:sz w:val="32"/>
          <w:szCs w:val="32"/>
          <w14:textFill>
            <w14:solidFill>
              <w14:schemeClr w14:val="tx1"/>
            </w14:solidFill>
          </w14:textFill>
        </w:rPr>
      </w:pPr>
      <w:bookmarkStart w:id="0" w:name="_GoBack"/>
      <w:bookmarkEnd w:id="0"/>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家庭经济状况调查</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第十五条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家庭经济状况指共同生活的家庭成员拥有的全部家庭收入和家庭财产。</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第十六条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家庭收入指共同生活的家庭成员在规定期限内获得的全部现金及实物收入，即扣除家庭经营费用、生产性固定资产折旧、必要的就业成本、个人所得税和社会保障支出后，家庭现金收入和实物收入之和。主要包括：</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（一）工资性收入。工资性收入指就业人员通过各种途径得到的全部劳动报酬和各种福利并扣除必要的就业成本，包括受雇于单位或个人、从事各种自由职业、兼职和零星劳动得到的全部劳动报酬和福利。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转移净收入。转移净收入指转移性收入扣减转移性支出之后的收入。其中，转移性收入指国家、机关企事业单位、社会组织对居民的各种经常性转移支付和居民之间的经常性收入转移，包括赡（抚、扶）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（五）其他应当计入家庭收入的项目。</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（六）下列收入不计入家庭收入：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1.优抚对象享受的抚恤金和生活补助金、护理费、伤残抚恤金，建国前老党员生活补贴，义务兵家庭按照规定享受的优待金、一次性奖励金，退役士兵一次性自谋职业补助金；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对国家、社会和人民作出突出贡献人员，政府给予的一次性奖励金，市级以上劳动模范退休后享受的荣誉津贴，见义勇为人员享受的各类抚恤金、补助金，因工（公）负伤人员的工（公）伤医疗费、护理费、一次性伤残补助金、残疾辅助器具费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独生子女费、计划生育奖励与扶助金、失独家庭一次性抚慰金及特别扶助金，在校学生获得的奖学金、助学金以及由政府和社会给予困难学生的救助金，城乡困难家庭成员因病享受的医疗救助金、基本医疗保险报销的医疗费，</w:t>
      </w:r>
      <w:r>
        <w:rPr>
          <w:rFonts w:hint="eastAsia" w:ascii="仿宋_GB2312" w:eastAsia="仿宋_GB2312"/>
          <w:color w:val="000000" w:themeColor="text1"/>
          <w:sz w:val="32"/>
          <w:szCs w:val="32"/>
          <w14:textFill>
            <w14:solidFill>
              <w14:schemeClr w14:val="tx1"/>
            </w14:solidFill>
          </w14:textFill>
        </w:rPr>
        <w:t>城</w:t>
      </w:r>
      <w:r>
        <w:rPr>
          <w:rFonts w:ascii="仿宋_GB2312" w:eastAsia="仿宋_GB2312"/>
          <w:color w:val="000000" w:themeColor="text1"/>
          <w:sz w:val="32"/>
          <w:szCs w:val="32"/>
          <w14:textFill>
            <w14:solidFill>
              <w14:schemeClr w14:val="tx1"/>
            </w14:solidFill>
          </w14:textFill>
        </w:rPr>
        <w:t>乡居民基本养老保险基础养老金，经济困难老年人生活补贴，高龄津贴，残疾人生活补贴和照料护理补贴等；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4.政府发放的公共租赁住房补贴、物价补贴、节日慰问款物、临时性救助款物等。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.各县区人民政府规定的其他收入。</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第十七条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家庭收入核算办法：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（一）家庭收入不稳定的，家庭月收入按其提出低保申请前12个月收入的平均值计算；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（二）与用人单位形成劳动关系的，按用人单位证明或者本人工资卡的银行流水计算；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（三）离退休金、失业保险金和遗属生活补助费按照</w:t>
      </w:r>
      <w:r>
        <w:rPr>
          <w:rFonts w:hint="eastAsia" w:ascii="仿宋_GB2312" w:eastAsia="仿宋_GB2312"/>
          <w:strike/>
          <w:color w:val="000000" w:themeColor="text1"/>
          <w:sz w:val="32"/>
          <w:szCs w:val="32"/>
          <w14:textFill>
            <w14:solidFill>
              <w14:schemeClr w14:val="tx1"/>
            </w14:solidFill>
          </w14:textFill>
        </w:rPr>
        <w:t>当地</w:t>
      </w:r>
      <w:r>
        <w:rPr>
          <w:rFonts w:hint="eastAsia" w:ascii="仿宋_GB2312" w:eastAsia="仿宋_GB2312"/>
          <w:color w:val="000000" w:themeColor="text1"/>
          <w:sz w:val="32"/>
          <w:szCs w:val="32"/>
          <w14:textFill>
            <w14:solidFill>
              <w14:schemeClr w14:val="tx1"/>
            </w14:solidFill>
          </w14:textFill>
        </w:rPr>
        <w:t>实际发放标准计算；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在户籍地灵活就业人员无法确定实际工资的，按照户籍地城镇常住居民人均可支配收入计算。外出务工人员无法确定实际工资的，按照务工地城镇私营单位就业人员平均工资计算；无法确定务工地的，按照户籍地城镇私营单位就业人员平均工资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种植业收入以本地区同等作物的市场价格与实际产量计算；不能确定实际产量的，以当地去年同等作物平均产量计算。养殖业、捕捞业等收入以本地区同等养殖（捕捞）品种市场价格与实际出栏数计算；不能确定实际出栏数的，以当地同行业去年平均产量计算。其他情形按当地评估标准和核算方法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财产租赁、转租等收入按照双方签订的相关合法有效合同计算；个人不能提供相关合同、协议的或者租赁、转让协议（合同）价格明显偏低的，按照当地同类资产租赁、转租的平均价格计算。储蓄存款利息、有价证券红利、投资股息红利、理财收益等可按照金融机构提供的信息计算，集体财产收入分红按集体出具的分配记录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（七）具有赡（抚、扶）养关系非共同生活的家庭成员（简称供养义务人），应当给付的赡（抚、扶）养费，按以下方法计算：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1按照具有法律效力的调解书、判决书等法律文书所规定的数额计算；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2.供养义务人家庭月人均收入低于我市月低保标准2倍的，视为无能力承担供养义务，不计算赡（抚、扶）养费；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3.供养义务人家庭人均月收入高于我市月低保标准2倍的，将其高出部分的50%,平均到应当赡（抚、扶）养的每个对象，计算赡（抚、扶）养费。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基本计算公式为：赡（抚、扶）养费＝（家庭月人均收入-2倍月低保标准）×家庭人口数×50%÷被赡（抚、扶）养人数。</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4.供养义务人家庭存在下列情况的，计算该供养义务人家庭对每位被赡（抚、扶）养人的月赡（抚、扶）养费时，</w:t>
      </w:r>
      <w:r>
        <w:rPr>
          <w:rFonts w:hint="eastAsia" w:ascii="仿宋_GB2312" w:eastAsia="仿宋_GB2312"/>
          <w:color w:val="000000" w:themeColor="text1"/>
          <w:sz w:val="32"/>
          <w:szCs w:val="32"/>
          <w14:textFill>
            <w14:solidFill>
              <w14:schemeClr w14:val="tx1"/>
            </w14:solidFill>
          </w14:textFill>
        </w:rPr>
        <w:t>供养义务人家庭月人均收入，</w:t>
      </w:r>
      <w:r>
        <w:rPr>
          <w:rFonts w:ascii="仿宋_GB2312" w:eastAsia="仿宋_GB2312"/>
          <w:color w:val="000000" w:themeColor="text1"/>
          <w:sz w:val="32"/>
          <w:szCs w:val="32"/>
          <w14:textFill>
            <w14:solidFill>
              <w14:schemeClr w14:val="tx1"/>
            </w14:solidFill>
          </w14:textFill>
        </w:rPr>
        <w:t>再增加1倍月低保标准</w:t>
      </w:r>
      <w:r>
        <w:rPr>
          <w:rFonts w:hint="eastAsia" w:ascii="仿宋_GB2312" w:eastAsia="仿宋_GB2312"/>
          <w:color w:val="000000" w:themeColor="text1"/>
          <w:sz w:val="32"/>
          <w:szCs w:val="32"/>
          <w14:textFill>
            <w14:solidFill>
              <w14:schemeClr w14:val="tx1"/>
            </w14:solidFill>
          </w14:textFill>
        </w:rPr>
        <w:t>的金额</w:t>
      </w:r>
      <w:r>
        <w:rPr>
          <w:rFonts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供养义务人家庭中拥有</w:t>
      </w:r>
      <w:r>
        <w:rPr>
          <w:rFonts w:ascii="仿宋_GB2312" w:eastAsia="仿宋_GB2312"/>
          <w:color w:val="000000" w:themeColor="text1"/>
          <w:sz w:val="32"/>
          <w:szCs w:val="32"/>
          <w14:textFill>
            <w14:solidFill>
              <w14:schemeClr w14:val="tx1"/>
            </w14:solidFill>
          </w14:textFill>
        </w:rPr>
        <w:t>5万元</w:t>
      </w:r>
      <w:r>
        <w:rPr>
          <w:rFonts w:hint="eastAsia" w:ascii="仿宋_GB2312" w:eastAsia="仿宋_GB2312"/>
          <w:color w:val="000000" w:themeColor="text1"/>
          <w:sz w:val="32"/>
          <w:szCs w:val="32"/>
          <w14:textFill>
            <w14:solidFill>
              <w14:schemeClr w14:val="tx1"/>
            </w14:solidFill>
          </w14:textFill>
        </w:rPr>
        <w:t>（不含）</w:t>
      </w:r>
      <w:r>
        <w:rPr>
          <w:rFonts w:ascii="仿宋_GB2312" w:eastAsia="仿宋_GB2312"/>
          <w:color w:val="000000" w:themeColor="text1"/>
          <w:sz w:val="32"/>
          <w:szCs w:val="32"/>
          <w14:textFill>
            <w14:solidFill>
              <w14:schemeClr w14:val="tx1"/>
            </w14:solidFill>
          </w14:textFill>
        </w:rPr>
        <w:t>以上机动车辆（</w:t>
      </w:r>
      <w:r>
        <w:rPr>
          <w:rFonts w:hint="eastAsia" w:ascii="仿宋_GB2312" w:eastAsia="仿宋_GB2312"/>
          <w:color w:val="000000" w:themeColor="text1"/>
          <w:sz w:val="32"/>
          <w:szCs w:val="32"/>
          <w14:textFill>
            <w14:solidFill>
              <w14:schemeClr w14:val="tx1"/>
            </w14:solidFill>
          </w14:textFill>
        </w:rPr>
        <w:t>以购置税发票计税金额为准，作为谋生工具的小型经营性车辆，残疾人功能性补偿代步机动车和普通两轮摩托车除外</w:t>
      </w:r>
      <w:r>
        <w:rPr>
          <w:rFonts w:ascii="仿宋_GB2312" w:eastAsia="仿宋_GB2312"/>
          <w:color w:val="000000" w:themeColor="text1"/>
          <w:sz w:val="32"/>
          <w:szCs w:val="32"/>
          <w14:textFill>
            <w14:solidFill>
              <w14:schemeClr w14:val="tx1"/>
            </w14:solidFill>
          </w14:textFill>
        </w:rPr>
        <w:t>）、船舶、大型农机具的；供养义务人家庭</w:t>
      </w:r>
      <w:r>
        <w:rPr>
          <w:rFonts w:hint="eastAsia" w:ascii="仿宋_GB2312" w:eastAsia="仿宋_GB2312"/>
          <w:color w:val="000000" w:themeColor="text1"/>
          <w:sz w:val="32"/>
          <w:szCs w:val="32"/>
          <w14:textFill>
            <w14:solidFill>
              <w14:schemeClr w14:val="tx1"/>
            </w14:solidFill>
          </w14:textFill>
        </w:rPr>
        <w:t>拥有非住宅类房产（非住宅类房产为家庭长期居住的唯一房产除外），或者拥有</w:t>
      </w:r>
      <w:r>
        <w:rPr>
          <w:rFonts w:ascii="仿宋_GB2312" w:eastAsia="仿宋_GB2312"/>
          <w:color w:val="000000" w:themeColor="text1"/>
          <w:sz w:val="32"/>
          <w:szCs w:val="32"/>
          <w14:textFill>
            <w14:solidFill>
              <w14:schemeClr w14:val="tx1"/>
            </w14:solidFill>
          </w14:textFill>
        </w:rPr>
        <w:t>2套及以上住宅类房产，且人均住房面积高于统计部门公布的我市上年度人均住房面积的</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供养义务人家庭在被供养人享受低保期间新购或新建住房的（因房屋拆迁原因购买必</w:t>
      </w:r>
      <w:r>
        <w:rPr>
          <w:rFonts w:hint="eastAsia" w:ascii="仿宋_GB2312" w:eastAsia="仿宋_GB2312"/>
          <w:color w:val="000000" w:themeColor="text1"/>
          <w:sz w:val="32"/>
          <w:szCs w:val="32"/>
          <w14:textFill>
            <w14:solidFill>
              <w14:schemeClr w14:val="tx1"/>
            </w14:solidFill>
          </w14:textFill>
        </w:rPr>
        <w:t>要</w:t>
      </w:r>
      <w:r>
        <w:rPr>
          <w:rFonts w:ascii="仿宋_GB2312" w:eastAsia="仿宋_GB2312"/>
          <w:color w:val="000000" w:themeColor="text1"/>
          <w:sz w:val="32"/>
          <w:szCs w:val="32"/>
          <w14:textFill>
            <w14:solidFill>
              <w14:schemeClr w14:val="tx1"/>
            </w14:solidFill>
          </w14:textFill>
        </w:rPr>
        <w:t>住房的、因危房改造新建住房的除外）</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县级民政部门</w:t>
      </w:r>
      <w:r>
        <w:rPr>
          <w:rFonts w:ascii="仿宋_GB2312" w:eastAsia="仿宋_GB2312"/>
          <w:color w:val="000000" w:themeColor="text1"/>
          <w:sz w:val="32"/>
          <w:szCs w:val="32"/>
          <w14:textFill>
            <w14:solidFill>
              <w14:schemeClr w14:val="tx1"/>
            </w14:solidFill>
          </w14:textFill>
        </w:rPr>
        <w:t>可根据实际，探索制定本地化赡（抚、扶）养费计算办法，报市民政局备案执行。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（八）因征地、拆迁、工伤、交通事故、意外伤害等领取的一次性安置费、经济补偿金或生活补偿费的计算：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1.因征地领取的一次性安置补偿费，按家庭人口数和我市低保标准逐月分摊计入家庭收入。在可分摊的月数内〔一次性安置补偿费÷（家庭人口数×我市低保标准）〕，该家庭不予获得低保。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因房屋被征收（拆迁）领取的一次性安置补偿费，扣除经查实确需购买安置住房（含必要装修）部分，剩余部分按家庭人口数和我市低保标准逐月分摊计入家庭收入。在可分摊的月数内，该家庭不予获得低保。无他处住房的，领取的一次性安置补偿费本金3年内不计入家庭收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由农业户口转为非农业户口领取的一次性安置补助费，扣除经查实确需购买安置住房（含必要装修）和用于缴纳社会保险费的部分，剩余部分按家庭人口数和我市低保标准逐月分摊计入家庭收入。在可分摊的月数内，该家庭不予获得低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4.因工伤、交通事故、意外伤害领取的一次性补偿费，根据赔偿项目清单，工资性及就业补偿按家庭人口数和</w:t>
      </w:r>
      <w:r>
        <w:rPr>
          <w:rFonts w:hint="eastAsia" w:ascii="仿宋_GB2312" w:eastAsia="仿宋_GB2312"/>
          <w:color w:val="000000" w:themeColor="text1"/>
          <w:sz w:val="32"/>
          <w:szCs w:val="32"/>
          <w14:textFill>
            <w14:solidFill>
              <w14:schemeClr w14:val="tx1"/>
            </w14:solidFill>
          </w14:textFill>
        </w:rPr>
        <w:t>我市</w:t>
      </w:r>
      <w:r>
        <w:rPr>
          <w:rFonts w:ascii="仿宋_GB2312" w:eastAsia="仿宋_GB2312"/>
          <w:color w:val="000000" w:themeColor="text1"/>
          <w:sz w:val="32"/>
          <w:szCs w:val="32"/>
          <w14:textFill>
            <w14:solidFill>
              <w14:schemeClr w14:val="tx1"/>
            </w14:solidFill>
          </w14:textFill>
        </w:rPr>
        <w:t>低保标准逐月分摊计入家庭收入。在可分摊的月数内，该家庭不予获得低保。医疗性赔偿应予以扣除，伤残赔偿视具体赔偿项目确定是否计入家庭收入。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.领取一次性补偿费的家庭，在可分摊的月数内，因病、因灾等特殊情况将领取的一次性补偿费提前用完，生活确有困难的，可申请低保。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（九）几种特殊人员的收入核定。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1.对于</w:t>
      </w:r>
      <w:r>
        <w:rPr>
          <w:rFonts w:hint="eastAsia" w:ascii="仿宋_GB2312" w:eastAsia="仿宋_GB2312"/>
          <w:color w:val="000000" w:themeColor="text1"/>
          <w:sz w:val="32"/>
          <w:szCs w:val="32"/>
          <w14:textFill>
            <w14:solidFill>
              <w14:schemeClr w14:val="tx1"/>
            </w14:solidFill>
          </w14:textFill>
        </w:rPr>
        <w:t>就业年龄段内</w:t>
      </w:r>
      <w:r>
        <w:rPr>
          <w:rFonts w:ascii="仿宋_GB2312" w:eastAsia="仿宋_GB2312"/>
          <w:color w:val="000000" w:themeColor="text1"/>
          <w:sz w:val="32"/>
          <w:szCs w:val="32"/>
          <w14:textFill>
            <w14:solidFill>
              <w14:schemeClr w14:val="tx1"/>
            </w14:solidFill>
          </w14:textFill>
        </w:rPr>
        <w:t>持有《残疾证》的人员</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按实际收入计算。</w:t>
      </w:r>
      <w:r>
        <w:rPr>
          <w:rFonts w:hint="eastAsia" w:ascii="仿宋_GB2312" w:eastAsia="仿宋_GB2312"/>
          <w:color w:val="000000" w:themeColor="text1"/>
          <w:sz w:val="32"/>
          <w:szCs w:val="32"/>
          <w14:textFill>
            <w14:solidFill>
              <w14:schemeClr w14:val="tx1"/>
            </w14:solidFill>
          </w14:textFill>
        </w:rPr>
        <w:t>单独立户的成年无业重度残疾人核算收入时其父母给付的抚育费计入收入，抚育费一般可按抚养人月总收入的百分之二十至三十的比例计算。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2.无工作单位的已婚妇女自产后１年时间内，视为哺乳期间无劳动能力，按实际收入计算。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3.成年已婚子女因离异、丧偶</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无住房等特殊原因造成未另立户口而与父母同住的，其家庭收入与父母分开计算。</w:t>
      </w:r>
    </w:p>
    <w:p>
      <w:pPr>
        <w:spacing w:line="560" w:lineRule="exact"/>
        <w:ind w:firstLine="643"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支出型困难家庭支出扣减办法。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因病支出指因重病、长期生病等产生的有据可查的自负医疗费用。因病支出的自负部分，参照城乡居民大病保险相关规定执行。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因学支出指全日制本科及以下的在校学生发生且由家庭自负（扣除各级政府各类救助补助、单位和个人捐赠）的学费、住宿费、交通费等刚性支出费用。因学支出的自负部分，按照低保家庭中在校生学费、住宿费、交通费等实际支出票据认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因残疾支出指残疾康复费用支出。指残疾人用于基本康复训练、购买必要的辅助器具等，在扣除政府补助、慈善救助和商业保险补偿后个人实际支付的费用。残疾人的基本康复训练和辅助器具的范围按照有关残疾人基本康复服务目录及残疾人辅助器具购买补贴产品目录确定。具体费用依据票据认定。</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家庭财产指共同生活的家庭成员拥有的全部动产和不动产。</w:t>
      </w:r>
    </w:p>
    <w:p>
      <w:pPr>
        <w:spacing w:line="560" w:lineRule="exact"/>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（一）动产主要包括银行存款、证券、基金、商业保险、债权、互联网金融资产以及车辆等。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（二）不动产主要包括房屋、林木等定着物。住房包括产权住房、公（廉）租房、宅基地住房等。</w:t>
      </w:r>
    </w:p>
    <w:p>
      <w:pPr>
        <w:spacing w:line="560" w:lineRule="exact"/>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对于维持家庭生产生活的必需财产，可以在认定家庭财产状况时予以豁免。</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乡镇人民政府（街道办事处）自受理申请材料之日起3个工作日内，在村（居）民委员会协助下，启动家庭经济状况调查。入户调查人员每组不得少于2人。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共同生活家庭成员经常居住地与户籍所在地不一致的，经常居住地和户籍所在地县级民政部门和乡镇人民政府（街道办事处）应当配合开展家庭经济状况调查、动态管理等相关工作。</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第二十一条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调查低保申请家庭经济状况和实际生活情况，采取以下方式进行：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（一）信息核对。乡镇人民政府（街道办事处）通过县级以上人民政府民政部门委托核对机构，对低保申请人家庭及其成员的经济状况进行核对，并出具核对报告；</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（二）入户调查。由两名以上调查人员到申请人家中了解其实际生活情况和家庭收支、财产状况，填写家庭经济状况调查表，并由调查人员、申请人（或家庭成员）分别签字确认；</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（三）邻里访问。调查人员到申请人所在村、社区或者单位走访了解其日常生活、从业情况和经济状况等；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（四）信函索证。调查人员以信函方式向相关单位和部门索取有关证明材料；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（五）支出推算。根据申请人消费支出推算其家庭收入。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发生重大突发事件时，前款规定的入户调查、邻里访问程序可以采取电话、视频等非接触方式进行。</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第二十二条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民政部门应当在收到乡镇人民政府（街道办事处）对家庭经济状况进行信息核对提请后，根据工作需要，依法依规查询共同生活家庭成员的户籍、纳税记录、社会保险缴纳、不动产登记、市场主体登记、住房公积金缴纳、车船登记，以及银行存款、商业保险、证券、互联网金融资产等信息。</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县级民政部门、乡镇人民政府（街道办事处）可以根据当地实际情况，通过家庭用水、用电、燃气、通讯等日常生活费用支出，以及是否存在高收费学校就读（含入托、出国留学）、出国旅游等情况，对家庭经济状况进行辅助评估。</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第二十三条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经家庭经济状况信息核对，不符合条件的低保申请，乡镇人民政府（街道办事处）应当及时告知申请人。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申请人有异议的，应当提供相关佐证材料；乡镇人民政府（街道办事处）应当组织开展复查。</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第二十四条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有下列情形之一的，不得获得低保：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（一）家庭财产超出规定的情况：</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共同生活的家庭成员有“企业法定代表人”、“企业高级管理人员”或企业投资人，并正在从事经营活动，或雇佣他人从事经营性活动的；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共同生活的家庭成员人均现金资产（含储蓄存款及利息）和持有有价证券等金融资产（含家庭拥有的高档收藏品）总价值超过我市低保月保障标准</w:t>
      </w:r>
      <w:r>
        <w:rPr>
          <w:rFonts w:ascii="仿宋_GB2312" w:eastAsia="仿宋_GB2312"/>
          <w:color w:val="000000" w:themeColor="text1"/>
          <w:sz w:val="32"/>
          <w:szCs w:val="32"/>
          <w14:textFill>
            <w14:solidFill>
              <w14:schemeClr w14:val="tx1"/>
            </w14:solidFill>
          </w14:textFill>
        </w:rPr>
        <w:t>24倍的；</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共同生活的家庭成员拥有非生活用机动车（作为谋生工具的小型经营性车辆，残疾人功能性补偿代步机动车和普通两轮摩托车除外）、大型农机具、船舶的；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.共同生活的家庭成员</w:t>
      </w:r>
      <w:r>
        <w:rPr>
          <w:rFonts w:hint="eastAsia" w:ascii="仿宋_GB2312" w:eastAsia="仿宋_GB2312"/>
          <w:color w:val="000000" w:themeColor="text1"/>
          <w:sz w:val="32"/>
          <w:szCs w:val="32"/>
          <w14:textFill>
            <w14:solidFill>
              <w14:schemeClr w14:val="tx1"/>
            </w14:solidFill>
          </w14:textFill>
        </w:rPr>
        <w:t>拥有非住宅类房产（非住宅类房产为家庭长期居住的唯一房产除外），或者拥有</w:t>
      </w:r>
      <w:r>
        <w:rPr>
          <w:rFonts w:ascii="仿宋_GB2312" w:eastAsia="仿宋_GB2312"/>
          <w:color w:val="000000" w:themeColor="text1"/>
          <w:sz w:val="32"/>
          <w:szCs w:val="32"/>
          <w14:textFill>
            <w14:solidFill>
              <w14:schemeClr w14:val="tx1"/>
            </w14:solidFill>
          </w14:textFill>
        </w:rPr>
        <w:t>2套及以上</w:t>
      </w:r>
      <w:r>
        <w:rPr>
          <w:rFonts w:hint="eastAsia" w:ascii="仿宋_GB2312" w:eastAsia="仿宋_GB2312"/>
          <w:color w:val="000000" w:themeColor="text1"/>
          <w:sz w:val="32"/>
          <w:szCs w:val="32"/>
          <w14:textFill>
            <w14:solidFill>
              <w14:schemeClr w14:val="tx1"/>
            </w14:solidFill>
          </w14:textFill>
        </w:rPr>
        <w:t>住宅类房产，</w:t>
      </w:r>
      <w:r>
        <w:rPr>
          <w:rFonts w:ascii="仿宋_GB2312" w:eastAsia="仿宋_GB2312"/>
          <w:color w:val="000000" w:themeColor="text1"/>
          <w:sz w:val="32"/>
          <w:szCs w:val="32"/>
          <w14:textFill>
            <w14:solidFill>
              <w14:schemeClr w14:val="tx1"/>
            </w14:solidFill>
          </w14:textFill>
        </w:rPr>
        <w:t>且人均住房面积高于统计部门公布的</w:t>
      </w:r>
      <w:r>
        <w:rPr>
          <w:rFonts w:hint="eastAsia" w:ascii="仿宋_GB2312" w:eastAsia="仿宋_GB2312"/>
          <w:color w:val="000000" w:themeColor="text1"/>
          <w:sz w:val="32"/>
          <w:szCs w:val="32"/>
          <w14:textFill>
            <w14:solidFill>
              <w14:schemeClr w14:val="tx1"/>
            </w14:solidFill>
          </w14:textFill>
        </w:rPr>
        <w:t>我市</w:t>
      </w:r>
      <w:r>
        <w:rPr>
          <w:rFonts w:ascii="仿宋_GB2312" w:eastAsia="仿宋_GB2312"/>
          <w:color w:val="000000" w:themeColor="text1"/>
          <w:sz w:val="32"/>
          <w:szCs w:val="32"/>
          <w14:textFill>
            <w14:solidFill>
              <w14:schemeClr w14:val="tx1"/>
            </w14:solidFill>
          </w14:textFill>
        </w:rPr>
        <w:t>上年度人均住房面积</w:t>
      </w:r>
      <w:r>
        <w:rPr>
          <w:rFonts w:hint="eastAsia" w:ascii="仿宋_GB2312" w:eastAsia="仿宋_GB2312"/>
          <w:color w:val="000000" w:themeColor="text1"/>
          <w:sz w:val="32"/>
          <w:szCs w:val="32"/>
          <w14:textFill>
            <w14:solidFill>
              <w14:schemeClr w14:val="tx1"/>
            </w14:solidFill>
          </w14:textFill>
        </w:rPr>
        <w:t>的</w:t>
      </w:r>
      <w:r>
        <w:rPr>
          <w:rFonts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对于支出型困难家庭申请低保，共同生活的家庭成员拥有5万元（不含）以上的非生活用机动车、大型农机具、船舶的；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（二）无正当理由，在申请低保之前或获得低保期间，家庭水、电、气、通讯费支出、日常消费水平等，连续6个月高于正常生活需要的。具体标准各县级民政部门可根据实际情况另行制定。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（三）拥有我市户籍，但长期(6个月及以上）居住在外地市，家庭收入和生活状况无法核实的；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（四）法定赡养、抚养、扶养义务人有赡养、抚养、扶养能力但不履行义务，致使家庭月（年）人均收入低于我市低保标准的；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（五）法定赡养、抚养、扶养义务人拥有两辆及以上机动车，或者拥有一辆购置价格在</w:t>
      </w:r>
      <w:r>
        <w:rPr>
          <w:rFonts w:ascii="仿宋_GB2312" w:eastAsia="仿宋_GB2312"/>
          <w:color w:val="000000" w:themeColor="text1"/>
          <w:sz w:val="32"/>
          <w:szCs w:val="32"/>
          <w14:textFill>
            <w14:solidFill>
              <w14:schemeClr w14:val="tx1"/>
            </w14:solidFill>
          </w14:textFill>
        </w:rPr>
        <w:t>10万元（含10万元）</w:t>
      </w:r>
      <w:r>
        <w:rPr>
          <w:rFonts w:hint="eastAsia" w:ascii="仿宋_GB2312" w:eastAsia="仿宋_GB2312"/>
          <w:color w:val="000000" w:themeColor="text1"/>
          <w:sz w:val="32"/>
          <w:szCs w:val="32"/>
          <w14:textFill>
            <w14:solidFill>
              <w14:schemeClr w14:val="tx1"/>
            </w14:solidFill>
          </w14:textFill>
        </w:rPr>
        <w:t>以上</w:t>
      </w:r>
      <w:r>
        <w:rPr>
          <w:rFonts w:ascii="仿宋_GB2312" w:eastAsia="仿宋_GB2312"/>
          <w:color w:val="000000" w:themeColor="text1"/>
          <w:sz w:val="32"/>
          <w:szCs w:val="32"/>
          <w14:textFill>
            <w14:solidFill>
              <w14:schemeClr w14:val="tx1"/>
            </w14:solidFill>
          </w14:textFill>
        </w:rPr>
        <w:t>机动车、船舶、大型农机具的；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（六）在法定劳动年龄段内并且有劳动能力，无正当理由拒绝就业或者从事劳动生产的；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（七）拒绝配合低保经办人员对其家庭经济状况进行调查，致使无法核实其家庭收入和家庭财产状况的；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（八）故意隐瞒家庭真实收入和家庭人口变动情况，或提供虚假申请材料及虚假证明的；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（九）通过离婚、赠与等形式放弃或转让应得财产份额，或放弃应得赡养费、抚养费、扶养费等经济利益的；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（十）在监狱内服刑人员；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（十一）人为闲置承包土地、山林、渔场的家庭；</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（十二）特困供养救助对象；</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（十三）其他经县级以上民政部门规定不能获得低保的。</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审核确认</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第二十五条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乡镇人民政府（街道办事处）应当自受理后10个工作日内，根据家庭经济状况调查情况，提出初审意见，并在申请家庭所在村、社区进行公示。公示期为7天。</w:t>
      </w:r>
    </w:p>
    <w:p>
      <w:pPr>
        <w:spacing w:line="560" w:lineRule="exact"/>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公示有异议的，乡镇人民政府（街道办事处）应当对申请家庭的经济状况重新组织调查或者开展民主评议。调查或者民主评议结束后，乡镇人民政府（街道办事处）应当重新提出初审意见。</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公示期满无异议的，乡镇人民政府（街道办事处）应当在5个工作日内召开社会救助联审联批会议，全面审核相关材料，并提出审核确认意见。</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第二十六条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乡镇人民政府（街道办事处）对符合条件的申请予以确认同意，同时确定救助金额，发放低保证或确认通知书，并从作出确认同意决定之日下月起发放低保金。对不符合条件的申请不予确认同意，并应当在作出决定3个工作日内，书面告知申请人并说明理由。</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第二十七条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乡镇人民政府（街道办事处）要将新审核确认的低保家庭信息报县级民政部门备案。县级民政部门应当加强监督指导，对新审核确认的低保家庭按照不低于</w:t>
      </w:r>
      <w:r>
        <w:rPr>
          <w:rFonts w:ascii="仿宋_GB2312" w:eastAsia="仿宋_GB2312"/>
          <w:color w:val="000000" w:themeColor="text1"/>
          <w:sz w:val="32"/>
          <w:szCs w:val="32"/>
          <w14:textFill>
            <w14:solidFill>
              <w14:schemeClr w14:val="tx1"/>
            </w14:solidFill>
          </w14:textFill>
        </w:rPr>
        <w:t>30%的比例开展随机抽查。对低保经办人员和村（居）民委员会成员近亲属的低保申请，以及有疑问、有举报的低保申请，县级民政部门应全部入户调查。</w:t>
      </w:r>
      <w:r>
        <w:rPr>
          <w:rFonts w:hint="eastAsia" w:ascii="仿宋_GB2312" w:eastAsia="仿宋_GB2312"/>
          <w:color w:val="000000" w:themeColor="text1"/>
          <w:sz w:val="32"/>
          <w:szCs w:val="32"/>
          <w14:textFill>
            <w14:solidFill>
              <w14:schemeClr w14:val="tx1"/>
            </w14:solidFill>
          </w14:textFill>
        </w:rPr>
        <w:t>严禁不经低保审核确认程序直接将群体或个人纳入低保范围。</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第二十八条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金实行按月社会化发放。通过银行、信用社等代理金融机构，按月支付到低保家庭的账户。城市低保金按照审核确定的申请家庭人均收入与我市低保标准的实际差额计算；农村低保金根据申请家庭困难程度和人员情况，采取分档方式计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乡镇人民政府（街道办事处）或者村（居）民委会相关工作人员代为保管用于领取低保金的银行存折或银行卡的，应当与低保家庭成员签订书面协议并报县级民政部门备案。</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第二十九条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长期末端公示。县级民政部门、乡镇人民政府（街道办事处）对低保家庭户主姓名、保障人数、保障类别、保障金额等分别在县级民政部门网站和申请人所在村（居）民委员会的公示栏长期公示，并完善面向公众的低保对象信息查询机制。要注意保护低保对象的个人隐私，严禁公开与获得低保无关的信息。</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日常管理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建立低保对象分类管理制度。乡镇人民政府（街道办事处）应根据低保家庭人口结构和收入来源变化情况，分成A、B、C三类，实行分类施保、定期核查，动态管理。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A类对象：低保对象中的重度残疾人和重病患者。</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B类对象：低保对象中的老年人、未成年人、三级及以下残疾人。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C类对象：低保对象中的有劳动能力和劳动条件的人。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低保家庭分类按照低保对象中最高的类别确定为A、B、C三类。</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第三十一条</w:t>
      </w:r>
      <w:r>
        <w:rPr>
          <w:rFonts w:ascii="仿宋_GB2312" w:eastAsia="仿宋_GB2312"/>
          <w:b/>
          <w:bCs/>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乡镇人民政府（街道办事处）应当根据低保家庭的人口、收支、财产等变化情况，及时作出增发、减发、停发低保金决定，并书面告知低保家庭成员。</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第三十二条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县级民政部门、乡镇人民政府（街道办事处）要对低保家庭开展定期核查。A、B类家庭，每年核查一次；C类家庭，每半年核查一次。</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发生重大突发事件时，前款规定的核查期限可以适当延长。</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第三十三条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低保家庭的人口状况、收支状况和财产状况发生变化的，应当及时告知乡镇人民政府（街道办事处）。</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第三十四条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实施分类救助，对低保家庭中的A类、B类人员，按比例增发一定数额的低保金。同时符合两项以上条件的对象按照就高原则核定低保金。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（一）A类人员，按不低于其本人低保补助水平的30%增发低保金。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（二）B类人员，按不低于其本人低保补助水平的20%增发低保金。</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第三十五条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建立低保档案分级管理制度。县级民政部门和乡镇人民政府（街道办事处）分别对低保工作资料归类、建档。低保档案应当齐全完整、统一规范、安全有序，并按照国家和省、市有关规定保存或者销毁。</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（一）低保家庭档案。包括申请书、户口簿、身份证等相关材料，家庭经济状况核对授权书及核对报告，入户调查表，公示照片，低保审核确认表，动态管理审核确认表等。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（二）日常管理档案。包括低保政策文件，会议记录、报告、总结，低保资金发放汇总表，低保对象花名册，低保对象动态管理花名册等。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低保家庭档案，由乡镇人民政府（街道办事处）保管。日常管理档案，由县级民政部门和乡镇人民政府（街道办事处）分别建档保管。</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第三十六条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全面应用并不断完善低保信息管理系统，实现低保网上受理、初审、确认，并及时、准确地更新数据和维护好系统运行。</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第三十七条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鼓励具备就业能力的困难人员积极就业。对实现就业的低保对象，在核算其家庭收入时，第一年所取得的收入在第二年核查时按我市最低工资标准的</w:t>
      </w:r>
      <w:r>
        <w:rPr>
          <w:rFonts w:ascii="仿宋_GB2312" w:eastAsia="仿宋_GB2312"/>
          <w:color w:val="000000" w:themeColor="text1"/>
          <w:sz w:val="32"/>
          <w:szCs w:val="32"/>
          <w14:textFill>
            <w14:solidFill>
              <w14:schemeClr w14:val="tx1"/>
            </w14:solidFill>
          </w14:textFill>
        </w:rPr>
        <w:t>50%作为就业成本豁免</w:t>
      </w:r>
      <w:r>
        <w:rPr>
          <w:rFonts w:hint="eastAsia" w:ascii="仿宋_GB2312" w:eastAsia="仿宋_GB2312"/>
          <w:color w:val="000000" w:themeColor="text1"/>
          <w:sz w:val="32"/>
          <w:szCs w:val="32"/>
          <w14:textFill>
            <w14:solidFill>
              <w14:schemeClr w14:val="tx1"/>
            </w14:solidFill>
          </w14:textFill>
        </w:rPr>
        <w:t>；对就业后家庭人均收入超过我市低保标准的低保家庭，可以给予6-</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个月的渐退期。具备劳动能力、劳动条件但未就业的低保对象，无正当理由连续3次拒绝接受有关部门介绍的与其健康状况、劳动能力相适应的工作的，应当减发或停发其本人的低保金。</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第七章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资金管理</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第三十八条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低保所需资金纳入各级财政预算。市、县级民政部门根据本年度实际保障对象数量测算下年度所需低保资金，并及时向同级财政部门提出下年度低保资金支出计划。同级财政部门审核后按规定程序纳入财政预算。</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第三十九条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低保资金管理严格实行专账核算，专款专用，严禁挤占挪用。</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市、县级民政部门在年度预算执行过程中，因保障对象增加（减少）、保障标准调整等因素需调整低保资金预算的，应根据实际情况商同级财政部门按规定办理。</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第四十一条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各级财政部门要将必要的低保工作经费纳入同级财政预算，确保低保工作的正常开展。</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第八章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法律责任</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第四十二条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县级以上民政部门和乡镇人民政府（街道办事处）应当公开社会救助服务热线，受理咨询、举报和投诉，接受社会和群众对低保审核确认工作的监督。</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第四十三条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县级民政部门和乡镇人民政府（街道办事处）要健全完善举报核查制度。对接到的实名举报，应逐一核查，及时反馈核查结果，并对实名举报人的信息予以保密。</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第四十四条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市、县两级民政部门要会同财政、审计、纪检监察等部门，对低保定期组织专项检查。对查出的违法、违纪行为，按照有关法律规定严肃处理。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县级民政部门、乡镇人民政府（街道办事处）及其从事低保工作的人员有下列情形之一的，由上级行政机关或者监察机关责令改正；对直接负责的主管人员和其他直接责任人员依法给予处分；构成犯罪的，依法追究刑事责任：</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1.对符合本细则规定的低保申请，不予受理，或者不予审核确认的；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2.对符合低保条件的家庭，故意不予批准的；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3.对不符合低保条件的家庭，予以批准的；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4.未按规定履行告知、保密职责的；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截留、挤占、挪用、私分低保资金的。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对秉持公心履职尽责但因客观原因出现失误偏差且能够及时纠正的，依法依规免于问责。</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采取虚报、隐瞒、伪造等手段骗取低保金的，由乡镇人民政府（街道办事处）决定停止发放低保金，追回非法获取的低保金，由有关部门处以非法获取低保金1倍以上3倍以下的罚款；在骗取低保金未退回期间，不再受理其低保申请；构成违反治安管理行为的，依法给予治安管理处罚；构成犯罪的，依法追究刑事责任。</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第四十五条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申请或者已经获得低保的家庭成员对于民政部门作出的具体行政行为不服的，可以依法申请行政复议或者提起行政诉讼。</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第四十六条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对违反本操作细则规定，发生重大问题、造成严重社会影响的单位和个人，要依纪依法追究责任。</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第九章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附 </w:t>
      </w:r>
      <w:r>
        <w:rPr>
          <w:rFonts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则</w:t>
      </w:r>
    </w:p>
    <w:p>
      <w:pPr>
        <w:spacing w:line="560" w:lineRule="exact"/>
        <w:rPr>
          <w:rFonts w:ascii="仿宋_GB2312" w:eastAsia="仿宋_GB2312"/>
          <w:color w:val="000000" w:themeColor="text1"/>
          <w:sz w:val="32"/>
          <w:szCs w:val="32"/>
          <w14:textFill>
            <w14:solidFill>
              <w14:schemeClr w14:val="tx1"/>
            </w14:solidFill>
          </w14:textFill>
        </w:rPr>
      </w:pPr>
    </w:p>
    <w:p>
      <w:pPr>
        <w:wordWrap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第四十七条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县级民政部门、财政部门从本地实际出发，制定本操作细则实施办法，并报市民政局、财政局备案。</w:t>
      </w:r>
    </w:p>
    <w:p>
      <w:pPr>
        <w:wordWrap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第四十八条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本操作细则由市民政局、财政局负责解释。</w:t>
      </w:r>
    </w:p>
    <w:p>
      <w:pPr>
        <w:wordWrap w:val="0"/>
        <w:topLinePunct/>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第四十九条</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本操作细则自公布之日起施行。《关于印发&lt;淮南市因病支出型贫困居民纳入最低生活保障实施办法&gt;的通知》（淮民〔2</w:t>
      </w:r>
      <w:r>
        <w:rPr>
          <w:rFonts w:ascii="仿宋_GB2312" w:eastAsia="仿宋_GB2312"/>
          <w:color w:val="000000" w:themeColor="text1"/>
          <w:sz w:val="32"/>
          <w:szCs w:val="32"/>
          <w14:textFill>
            <w14:solidFill>
              <w14:schemeClr w14:val="tx1"/>
            </w14:solidFill>
          </w14:textFill>
        </w:rPr>
        <w:t>017</w:t>
      </w: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关于印发</w:t>
      </w:r>
      <w:r>
        <w:rPr>
          <w:rFonts w:hint="eastAsia" w:ascii="仿宋_GB2312" w:eastAsia="仿宋_GB2312"/>
          <w:color w:val="000000" w:themeColor="text1"/>
          <w:sz w:val="32"/>
          <w:szCs w:val="32"/>
          <w14:textFill>
            <w14:solidFill>
              <w14:schemeClr w14:val="tx1"/>
            </w14:solidFill>
          </w14:textFill>
        </w:rPr>
        <w:t>&lt;</w:t>
      </w:r>
      <w:r>
        <w:rPr>
          <w:rFonts w:ascii="仿宋_GB2312" w:eastAsia="仿宋_GB2312"/>
          <w:color w:val="000000" w:themeColor="text1"/>
          <w:sz w:val="32"/>
          <w:szCs w:val="32"/>
          <w14:textFill>
            <w14:solidFill>
              <w14:schemeClr w14:val="tx1"/>
            </w14:solidFill>
          </w14:textFill>
        </w:rPr>
        <w:t>淮南市最低生活保障工作操作细则</w:t>
      </w:r>
      <w:r>
        <w:rPr>
          <w:rFonts w:hint="eastAsia" w:ascii="仿宋_GB2312" w:eastAsia="仿宋_GB2312"/>
          <w:color w:val="000000" w:themeColor="text1"/>
          <w:sz w:val="32"/>
          <w:szCs w:val="32"/>
          <w14:textFill>
            <w14:solidFill>
              <w14:schemeClr w14:val="tx1"/>
            </w14:solidFill>
          </w14:textFill>
        </w:rPr>
        <w:t>&gt;</w:t>
      </w:r>
      <w:r>
        <w:rPr>
          <w:rFonts w:ascii="仿宋_GB2312" w:eastAsia="仿宋_GB2312"/>
          <w:color w:val="000000" w:themeColor="text1"/>
          <w:sz w:val="32"/>
          <w:szCs w:val="32"/>
          <w14:textFill>
            <w14:solidFill>
              <w14:schemeClr w14:val="tx1"/>
            </w14:solidFill>
          </w14:textFill>
        </w:rPr>
        <w:t>的通知</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淮民〔2019〕120号</w:t>
      </w:r>
      <w:r>
        <w:rPr>
          <w:rFonts w:hint="eastAsia" w:ascii="仿宋_GB2312" w:eastAsia="仿宋_GB2312"/>
          <w:color w:val="000000" w:themeColor="text1"/>
          <w:sz w:val="32"/>
          <w:szCs w:val="32"/>
          <w14:textFill>
            <w14:solidFill>
              <w14:schemeClr w14:val="tx1"/>
            </w14:solidFill>
          </w14:textFill>
        </w:rPr>
        <w:t>）同时废止。</w:t>
      </w:r>
    </w:p>
    <w:sectPr>
      <w:footerReference r:id="rId3" w:type="default"/>
      <w:pgSz w:w="11906" w:h="16838"/>
      <w:pgMar w:top="1440" w:right="1520" w:bottom="1440" w:left="15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936794048"/>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yODU3YWQ4NmY5YjM3OWZjMjMzZDdlNDEyYWIzZTMifQ=="/>
  </w:docVars>
  <w:rsids>
    <w:rsidRoot w:val="00932342"/>
    <w:rsid w:val="00007394"/>
    <w:rsid w:val="000246D4"/>
    <w:rsid w:val="00026EC3"/>
    <w:rsid w:val="00056495"/>
    <w:rsid w:val="0006080B"/>
    <w:rsid w:val="00077CA8"/>
    <w:rsid w:val="00082745"/>
    <w:rsid w:val="000A537D"/>
    <w:rsid w:val="000A79D2"/>
    <w:rsid w:val="000E1A88"/>
    <w:rsid w:val="000E5F3E"/>
    <w:rsid w:val="000F34B5"/>
    <w:rsid w:val="00137EC5"/>
    <w:rsid w:val="00143BEC"/>
    <w:rsid w:val="00153025"/>
    <w:rsid w:val="0015597D"/>
    <w:rsid w:val="00170C91"/>
    <w:rsid w:val="00175F1A"/>
    <w:rsid w:val="0018068F"/>
    <w:rsid w:val="001A469C"/>
    <w:rsid w:val="001B1CC4"/>
    <w:rsid w:val="001B5A86"/>
    <w:rsid w:val="001B6F16"/>
    <w:rsid w:val="001C248A"/>
    <w:rsid w:val="001E1963"/>
    <w:rsid w:val="00203F05"/>
    <w:rsid w:val="00282F99"/>
    <w:rsid w:val="00284155"/>
    <w:rsid w:val="002A3ABB"/>
    <w:rsid w:val="002A426A"/>
    <w:rsid w:val="002B3302"/>
    <w:rsid w:val="002B7723"/>
    <w:rsid w:val="002D7DEB"/>
    <w:rsid w:val="002E03A7"/>
    <w:rsid w:val="002E10F8"/>
    <w:rsid w:val="002F3E80"/>
    <w:rsid w:val="00314261"/>
    <w:rsid w:val="00326702"/>
    <w:rsid w:val="0034156A"/>
    <w:rsid w:val="00353FDF"/>
    <w:rsid w:val="00354FA1"/>
    <w:rsid w:val="00370E3E"/>
    <w:rsid w:val="003725BE"/>
    <w:rsid w:val="003771E3"/>
    <w:rsid w:val="00381C8E"/>
    <w:rsid w:val="003A25F9"/>
    <w:rsid w:val="003B3C62"/>
    <w:rsid w:val="003C33BE"/>
    <w:rsid w:val="003D467E"/>
    <w:rsid w:val="003E64B6"/>
    <w:rsid w:val="003F18C3"/>
    <w:rsid w:val="003F67B3"/>
    <w:rsid w:val="004126AE"/>
    <w:rsid w:val="00447AE9"/>
    <w:rsid w:val="0045621B"/>
    <w:rsid w:val="00467623"/>
    <w:rsid w:val="00481A50"/>
    <w:rsid w:val="004A4629"/>
    <w:rsid w:val="004B0FBD"/>
    <w:rsid w:val="004B2014"/>
    <w:rsid w:val="004B68F2"/>
    <w:rsid w:val="004C2638"/>
    <w:rsid w:val="004C6321"/>
    <w:rsid w:val="004D348C"/>
    <w:rsid w:val="004F60CD"/>
    <w:rsid w:val="005076F2"/>
    <w:rsid w:val="0052324C"/>
    <w:rsid w:val="00526862"/>
    <w:rsid w:val="00526EBB"/>
    <w:rsid w:val="00535A4A"/>
    <w:rsid w:val="00535AEC"/>
    <w:rsid w:val="005427CC"/>
    <w:rsid w:val="00553763"/>
    <w:rsid w:val="00573C8D"/>
    <w:rsid w:val="00584E67"/>
    <w:rsid w:val="00591204"/>
    <w:rsid w:val="005C1A41"/>
    <w:rsid w:val="005C64E8"/>
    <w:rsid w:val="005E4B1A"/>
    <w:rsid w:val="005F51AB"/>
    <w:rsid w:val="0060698D"/>
    <w:rsid w:val="00622437"/>
    <w:rsid w:val="00633A3D"/>
    <w:rsid w:val="006440C4"/>
    <w:rsid w:val="00653E68"/>
    <w:rsid w:val="006577D6"/>
    <w:rsid w:val="00657D5B"/>
    <w:rsid w:val="00657EEB"/>
    <w:rsid w:val="00662C69"/>
    <w:rsid w:val="00680E0C"/>
    <w:rsid w:val="00682095"/>
    <w:rsid w:val="00690A43"/>
    <w:rsid w:val="006A156C"/>
    <w:rsid w:val="006A5240"/>
    <w:rsid w:val="006B4C52"/>
    <w:rsid w:val="006D7F71"/>
    <w:rsid w:val="006E7E98"/>
    <w:rsid w:val="00711623"/>
    <w:rsid w:val="00724DA9"/>
    <w:rsid w:val="007359E8"/>
    <w:rsid w:val="0073794E"/>
    <w:rsid w:val="00757A82"/>
    <w:rsid w:val="007622AA"/>
    <w:rsid w:val="00771148"/>
    <w:rsid w:val="007819CA"/>
    <w:rsid w:val="0078319C"/>
    <w:rsid w:val="0078697D"/>
    <w:rsid w:val="00787DF8"/>
    <w:rsid w:val="007A2FD5"/>
    <w:rsid w:val="007B379E"/>
    <w:rsid w:val="007D45B8"/>
    <w:rsid w:val="007E6766"/>
    <w:rsid w:val="007F6593"/>
    <w:rsid w:val="00810485"/>
    <w:rsid w:val="00811AAA"/>
    <w:rsid w:val="00834C3A"/>
    <w:rsid w:val="00837C3B"/>
    <w:rsid w:val="0084076D"/>
    <w:rsid w:val="00844619"/>
    <w:rsid w:val="0085569D"/>
    <w:rsid w:val="0085766B"/>
    <w:rsid w:val="008956E1"/>
    <w:rsid w:val="008A609D"/>
    <w:rsid w:val="008B08CC"/>
    <w:rsid w:val="008C3CE4"/>
    <w:rsid w:val="008C52B3"/>
    <w:rsid w:val="008D6223"/>
    <w:rsid w:val="008D67BA"/>
    <w:rsid w:val="00900349"/>
    <w:rsid w:val="0091725D"/>
    <w:rsid w:val="009275BB"/>
    <w:rsid w:val="00932342"/>
    <w:rsid w:val="009526CE"/>
    <w:rsid w:val="009538FA"/>
    <w:rsid w:val="00963347"/>
    <w:rsid w:val="0097205A"/>
    <w:rsid w:val="009D3087"/>
    <w:rsid w:val="009F0E72"/>
    <w:rsid w:val="009F265F"/>
    <w:rsid w:val="009F3223"/>
    <w:rsid w:val="00A26520"/>
    <w:rsid w:val="00A37DD8"/>
    <w:rsid w:val="00A45524"/>
    <w:rsid w:val="00A90651"/>
    <w:rsid w:val="00AA5714"/>
    <w:rsid w:val="00AB6380"/>
    <w:rsid w:val="00AC049D"/>
    <w:rsid w:val="00AD42C2"/>
    <w:rsid w:val="00AD7FA6"/>
    <w:rsid w:val="00B059AE"/>
    <w:rsid w:val="00B06300"/>
    <w:rsid w:val="00B16112"/>
    <w:rsid w:val="00B230AF"/>
    <w:rsid w:val="00B24506"/>
    <w:rsid w:val="00B305B5"/>
    <w:rsid w:val="00B32ED9"/>
    <w:rsid w:val="00B33CFA"/>
    <w:rsid w:val="00B43CDA"/>
    <w:rsid w:val="00B455D3"/>
    <w:rsid w:val="00B61392"/>
    <w:rsid w:val="00B61D15"/>
    <w:rsid w:val="00B854DE"/>
    <w:rsid w:val="00BA55E2"/>
    <w:rsid w:val="00BA561D"/>
    <w:rsid w:val="00BC3BC8"/>
    <w:rsid w:val="00BD66B4"/>
    <w:rsid w:val="00BE5BE4"/>
    <w:rsid w:val="00C0354F"/>
    <w:rsid w:val="00C14539"/>
    <w:rsid w:val="00C45E17"/>
    <w:rsid w:val="00C46D3E"/>
    <w:rsid w:val="00C53217"/>
    <w:rsid w:val="00C53B85"/>
    <w:rsid w:val="00C579D2"/>
    <w:rsid w:val="00C60436"/>
    <w:rsid w:val="00C809D0"/>
    <w:rsid w:val="00CA4B0E"/>
    <w:rsid w:val="00CB0E1A"/>
    <w:rsid w:val="00CC0252"/>
    <w:rsid w:val="00D166DE"/>
    <w:rsid w:val="00D331C0"/>
    <w:rsid w:val="00D36909"/>
    <w:rsid w:val="00D37273"/>
    <w:rsid w:val="00D4071A"/>
    <w:rsid w:val="00D4183A"/>
    <w:rsid w:val="00D553A4"/>
    <w:rsid w:val="00D630D8"/>
    <w:rsid w:val="00D745E9"/>
    <w:rsid w:val="00D935F0"/>
    <w:rsid w:val="00DB47A1"/>
    <w:rsid w:val="00DC3090"/>
    <w:rsid w:val="00DF2301"/>
    <w:rsid w:val="00E25F45"/>
    <w:rsid w:val="00E368AB"/>
    <w:rsid w:val="00E57E9C"/>
    <w:rsid w:val="00E75BFD"/>
    <w:rsid w:val="00E75D7B"/>
    <w:rsid w:val="00E96081"/>
    <w:rsid w:val="00EA08EF"/>
    <w:rsid w:val="00EB18AB"/>
    <w:rsid w:val="00EB5902"/>
    <w:rsid w:val="00EE063D"/>
    <w:rsid w:val="00EF4376"/>
    <w:rsid w:val="00F15C07"/>
    <w:rsid w:val="00F25142"/>
    <w:rsid w:val="00F467A2"/>
    <w:rsid w:val="00F52893"/>
    <w:rsid w:val="00F803B7"/>
    <w:rsid w:val="00F81F2B"/>
    <w:rsid w:val="00F85C49"/>
    <w:rsid w:val="00F90BC6"/>
    <w:rsid w:val="00F913C3"/>
    <w:rsid w:val="00F93859"/>
    <w:rsid w:val="00FB0F9A"/>
    <w:rsid w:val="00FC2C57"/>
    <w:rsid w:val="00FC4CBE"/>
    <w:rsid w:val="00FD3AF2"/>
    <w:rsid w:val="00FD6A8B"/>
    <w:rsid w:val="00FE750C"/>
    <w:rsid w:val="1994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5309</Words>
  <Characters>5947</Characters>
  <Lines>313</Lines>
  <Paragraphs>152</Paragraphs>
  <TotalTime>892</TotalTime>
  <ScaleCrop>false</ScaleCrop>
  <LinksUpToDate>false</LinksUpToDate>
  <CharactersWithSpaces>11104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2021-09-13T00:26:00Z</dcterms:created>
  <dc:creator>陈鹏飞</dc:creator>
  <cp:lastModifiedBy>八厘米蔚蓝</cp:lastModifiedBy>
  <cp:lastPrinted>2021-10-15T06:34:00Z</cp:lastPrinted>
  <dcterms:modified xsi:type="dcterms:W3CDTF">2023-10-18T02:48:49Z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A1974BF785A7405C9988E895D44F0FDA_12</vt:lpwstr>
  </property>
</Properties>
</file>