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2C0D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val="en-US" w:eastAsia="zh-CN"/>
        </w:rPr>
        <w:t>中介服务</w:t>
      </w:r>
      <w:r>
        <w:rPr>
          <w:rFonts w:hint="eastAsia" w:ascii="宋体" w:hAnsi="宋体" w:eastAsia="宋体" w:cs="宋体"/>
          <w:b/>
          <w:bCs/>
          <w:color w:val="000000"/>
          <w:sz w:val="32"/>
          <w:szCs w:val="32"/>
          <w:lang w:eastAsia="zh-CN"/>
        </w:rPr>
        <w:t>清单（保留事项）</w:t>
      </w:r>
    </w:p>
    <w:p w14:paraId="0555E0F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eastAsia="zh-CN"/>
        </w:rPr>
      </w:pPr>
    </w:p>
    <w:tbl>
      <w:tblPr>
        <w:tblStyle w:val="3"/>
        <w:tblW w:w="14849"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963"/>
        <w:gridCol w:w="4511"/>
        <w:gridCol w:w="1302"/>
        <w:gridCol w:w="1076"/>
        <w:gridCol w:w="2288"/>
        <w:gridCol w:w="1236"/>
        <w:gridCol w:w="817"/>
        <w:gridCol w:w="978"/>
        <w:gridCol w:w="889"/>
      </w:tblGrid>
      <w:tr w14:paraId="1B92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89" w:type="dxa"/>
            <w:vMerge w:val="restart"/>
            <w:noWrap w:val="0"/>
            <w:vAlign w:val="center"/>
          </w:tcPr>
          <w:p w14:paraId="525DE0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序号</w:t>
            </w:r>
          </w:p>
        </w:tc>
        <w:tc>
          <w:tcPr>
            <w:tcW w:w="963" w:type="dxa"/>
            <w:vMerge w:val="restart"/>
            <w:noWrap w:val="0"/>
            <w:vAlign w:val="center"/>
          </w:tcPr>
          <w:p w14:paraId="37E692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事项名称</w:t>
            </w:r>
          </w:p>
        </w:tc>
        <w:tc>
          <w:tcPr>
            <w:tcW w:w="4511" w:type="dxa"/>
            <w:vMerge w:val="restart"/>
            <w:noWrap w:val="0"/>
            <w:vAlign w:val="center"/>
          </w:tcPr>
          <w:p w14:paraId="0F0B02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设定依据</w:t>
            </w:r>
          </w:p>
        </w:tc>
        <w:tc>
          <w:tcPr>
            <w:tcW w:w="1302" w:type="dxa"/>
            <w:vMerge w:val="restart"/>
            <w:noWrap w:val="0"/>
            <w:vAlign w:val="center"/>
          </w:tcPr>
          <w:p w14:paraId="254682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对应权力事项名称</w:t>
            </w:r>
          </w:p>
        </w:tc>
        <w:tc>
          <w:tcPr>
            <w:tcW w:w="3364" w:type="dxa"/>
            <w:gridSpan w:val="2"/>
            <w:noWrap w:val="0"/>
            <w:vAlign w:val="center"/>
          </w:tcPr>
          <w:p w14:paraId="72D505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中介服务实施机构</w:t>
            </w:r>
          </w:p>
        </w:tc>
        <w:tc>
          <w:tcPr>
            <w:tcW w:w="1236" w:type="dxa"/>
            <w:vMerge w:val="restart"/>
            <w:noWrap w:val="0"/>
            <w:vAlign w:val="center"/>
          </w:tcPr>
          <w:p w14:paraId="1754890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收费标准及依据</w:t>
            </w:r>
          </w:p>
        </w:tc>
        <w:tc>
          <w:tcPr>
            <w:tcW w:w="817" w:type="dxa"/>
            <w:vMerge w:val="restart"/>
            <w:noWrap w:val="0"/>
            <w:vAlign w:val="center"/>
          </w:tcPr>
          <w:p w14:paraId="5AF7F8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处理决定</w:t>
            </w:r>
          </w:p>
        </w:tc>
        <w:tc>
          <w:tcPr>
            <w:tcW w:w="978" w:type="dxa"/>
            <w:vMerge w:val="restart"/>
            <w:noWrap w:val="0"/>
            <w:vAlign w:val="center"/>
          </w:tcPr>
          <w:p w14:paraId="5938E48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委托主体</w:t>
            </w:r>
          </w:p>
        </w:tc>
        <w:tc>
          <w:tcPr>
            <w:tcW w:w="889" w:type="dxa"/>
            <w:vMerge w:val="restart"/>
            <w:noWrap w:val="0"/>
            <w:vAlign w:val="center"/>
          </w:tcPr>
          <w:p w14:paraId="3A04E07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备注</w:t>
            </w:r>
          </w:p>
        </w:tc>
      </w:tr>
      <w:tr w14:paraId="7E93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Merge w:val="continue"/>
            <w:noWrap w:val="0"/>
            <w:vAlign w:val="top"/>
          </w:tcPr>
          <w:p w14:paraId="4ACE33E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vertAlign w:val="baseline"/>
                <w:lang w:val="en-US" w:eastAsia="zh-CN"/>
              </w:rPr>
            </w:pPr>
          </w:p>
        </w:tc>
        <w:tc>
          <w:tcPr>
            <w:tcW w:w="963" w:type="dxa"/>
            <w:vMerge w:val="continue"/>
            <w:noWrap w:val="0"/>
            <w:vAlign w:val="top"/>
          </w:tcPr>
          <w:p w14:paraId="769F1A6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vertAlign w:val="baseline"/>
                <w:lang w:val="en-US" w:eastAsia="zh-CN"/>
              </w:rPr>
            </w:pPr>
          </w:p>
        </w:tc>
        <w:tc>
          <w:tcPr>
            <w:tcW w:w="4511" w:type="dxa"/>
            <w:vMerge w:val="continue"/>
            <w:noWrap w:val="0"/>
            <w:vAlign w:val="top"/>
          </w:tcPr>
          <w:p w14:paraId="0FC1DC9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vertAlign w:val="baseline"/>
                <w:lang w:val="en-US" w:eastAsia="zh-CN"/>
              </w:rPr>
            </w:pPr>
          </w:p>
        </w:tc>
        <w:tc>
          <w:tcPr>
            <w:tcW w:w="1302" w:type="dxa"/>
            <w:vMerge w:val="continue"/>
            <w:noWrap w:val="0"/>
            <w:vAlign w:val="top"/>
          </w:tcPr>
          <w:p w14:paraId="7FF4EF7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vertAlign w:val="baseline"/>
                <w:lang w:val="en-US" w:eastAsia="zh-CN"/>
              </w:rPr>
            </w:pPr>
          </w:p>
        </w:tc>
        <w:tc>
          <w:tcPr>
            <w:tcW w:w="1076" w:type="dxa"/>
            <w:noWrap w:val="0"/>
            <w:vAlign w:val="top"/>
          </w:tcPr>
          <w:p w14:paraId="2E5419F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资质条件</w:t>
            </w:r>
          </w:p>
        </w:tc>
        <w:tc>
          <w:tcPr>
            <w:tcW w:w="2288" w:type="dxa"/>
            <w:noWrap w:val="0"/>
            <w:vAlign w:val="top"/>
          </w:tcPr>
          <w:p w14:paraId="4C75AEE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资质依据</w:t>
            </w:r>
          </w:p>
        </w:tc>
        <w:tc>
          <w:tcPr>
            <w:tcW w:w="1236" w:type="dxa"/>
            <w:vMerge w:val="continue"/>
            <w:noWrap w:val="0"/>
            <w:vAlign w:val="top"/>
          </w:tcPr>
          <w:p w14:paraId="4BDDFC5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vertAlign w:val="baseline"/>
                <w:lang w:val="en-US" w:eastAsia="zh-CN"/>
              </w:rPr>
            </w:pPr>
          </w:p>
        </w:tc>
        <w:tc>
          <w:tcPr>
            <w:tcW w:w="817" w:type="dxa"/>
            <w:vMerge w:val="continue"/>
            <w:noWrap w:val="0"/>
            <w:vAlign w:val="top"/>
          </w:tcPr>
          <w:p w14:paraId="7FE0B83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vertAlign w:val="baseline"/>
                <w:lang w:val="en-US" w:eastAsia="zh-CN"/>
              </w:rPr>
            </w:pPr>
          </w:p>
        </w:tc>
        <w:tc>
          <w:tcPr>
            <w:tcW w:w="978" w:type="dxa"/>
            <w:vMerge w:val="continue"/>
            <w:noWrap w:val="0"/>
            <w:vAlign w:val="top"/>
          </w:tcPr>
          <w:p w14:paraId="56B74D4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vertAlign w:val="baseline"/>
                <w:lang w:val="en-US" w:eastAsia="zh-CN"/>
              </w:rPr>
            </w:pPr>
          </w:p>
        </w:tc>
        <w:tc>
          <w:tcPr>
            <w:tcW w:w="889" w:type="dxa"/>
            <w:vMerge w:val="continue"/>
            <w:noWrap w:val="0"/>
            <w:vAlign w:val="top"/>
          </w:tcPr>
          <w:p w14:paraId="4FBF7C0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000000"/>
                <w:sz w:val="21"/>
                <w:szCs w:val="21"/>
                <w:vertAlign w:val="baseline"/>
                <w:lang w:val="en-US" w:eastAsia="zh-CN"/>
              </w:rPr>
            </w:pPr>
          </w:p>
        </w:tc>
      </w:tr>
      <w:tr w14:paraId="4FE5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noWrap w:val="0"/>
            <w:vAlign w:val="center"/>
          </w:tcPr>
          <w:p w14:paraId="495B2E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963" w:type="dxa"/>
            <w:noWrap w:val="0"/>
            <w:vAlign w:val="center"/>
          </w:tcPr>
          <w:p w14:paraId="278AE9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社会团体注销清算报告审计</w:t>
            </w:r>
          </w:p>
        </w:tc>
        <w:tc>
          <w:tcPr>
            <w:tcW w:w="4511" w:type="dxa"/>
            <w:noWrap w:val="0"/>
            <w:vAlign w:val="center"/>
          </w:tcPr>
          <w:p w14:paraId="7DE484D0">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1.《社会团体登记管理条例》（国务院令第250号）第二十二条：社会团体在办理注销登记前，应当在业务主管单位及其他有关机关的指导下，成立清算组织，完成清算工作。清算期间，社会团体不得开展清算以外的活动。第二十三条：社会团体应当自清算结束之日起15日内向登记管理机关办理注销登记。办理注销登记，应当提交法定代表人签署的注销登记申请书、业务主管单位的审查文件和清算报告书。 2.《安徽省人民政府关于贯彻落实国务院第二批清理规范行政审批中介服务事项的通知》（皖政〔2016〕65号）附件目录第7项：社会团体注销清算报告审计。不再要求申请人提供清算审计报告，改由审批部门委托有关机构开展社会团体注销清算审计。</w:t>
            </w:r>
          </w:p>
        </w:tc>
        <w:tc>
          <w:tcPr>
            <w:tcW w:w="1302" w:type="dxa"/>
            <w:noWrap w:val="0"/>
            <w:vAlign w:val="center"/>
          </w:tcPr>
          <w:p w14:paraId="0784C25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社会团体成立、变更、注销登记及修改章程核准</w:t>
            </w:r>
          </w:p>
        </w:tc>
        <w:tc>
          <w:tcPr>
            <w:tcW w:w="1076" w:type="dxa"/>
            <w:noWrap w:val="0"/>
            <w:vAlign w:val="center"/>
          </w:tcPr>
          <w:p w14:paraId="586F5C7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具有法定资格的验资机构、会计师事务所</w:t>
            </w:r>
          </w:p>
        </w:tc>
        <w:tc>
          <w:tcPr>
            <w:tcW w:w="2288" w:type="dxa"/>
            <w:noWrap w:val="0"/>
            <w:vAlign w:val="center"/>
          </w:tcPr>
          <w:p w14:paraId="35853BE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中华人民共和国注册会计师法》第三条：会计师事务所是依法设立并承办注册会计师业务的机构。注册会计师执行业务，应当加入会计师事务所。第十四条：注册会计师承办下列审计业务：（一）审查企业会计报表，出具审计报告；（二）验证企业资本，出具验资报告；（三）办理企业合并、分立、清算事宜中的审计业务，出具有关的报告；（四）法律、行政法规规定的其他审计业务。注册会计师依法执行审计业务出具的报告，具有证明效力。</w:t>
            </w:r>
          </w:p>
        </w:tc>
        <w:tc>
          <w:tcPr>
            <w:tcW w:w="1236" w:type="dxa"/>
            <w:noWrap w:val="0"/>
            <w:vAlign w:val="center"/>
          </w:tcPr>
          <w:p w14:paraId="755AB7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市场自主调节价格</w:t>
            </w:r>
          </w:p>
        </w:tc>
        <w:tc>
          <w:tcPr>
            <w:tcW w:w="817" w:type="dxa"/>
            <w:noWrap w:val="0"/>
            <w:vAlign w:val="center"/>
          </w:tcPr>
          <w:p w14:paraId="200C7B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保留</w:t>
            </w:r>
          </w:p>
        </w:tc>
        <w:tc>
          <w:tcPr>
            <w:tcW w:w="978" w:type="dxa"/>
            <w:noWrap w:val="0"/>
            <w:vAlign w:val="center"/>
          </w:tcPr>
          <w:p w14:paraId="25D04F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行政机关</w:t>
            </w:r>
          </w:p>
        </w:tc>
        <w:tc>
          <w:tcPr>
            <w:tcW w:w="889" w:type="dxa"/>
            <w:noWrap w:val="0"/>
            <w:vAlign w:val="center"/>
          </w:tcPr>
          <w:p w14:paraId="7566D2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p>
        </w:tc>
      </w:tr>
      <w:tr w14:paraId="7AE1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noWrap w:val="0"/>
            <w:vAlign w:val="center"/>
          </w:tcPr>
          <w:p w14:paraId="4C7B58E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963" w:type="dxa"/>
            <w:noWrap w:val="0"/>
            <w:vAlign w:val="center"/>
          </w:tcPr>
          <w:p w14:paraId="42E17D5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民办非企业单位注销清算报告审计</w:t>
            </w:r>
          </w:p>
        </w:tc>
        <w:tc>
          <w:tcPr>
            <w:tcW w:w="4511" w:type="dxa"/>
            <w:noWrap w:val="0"/>
            <w:vAlign w:val="center"/>
          </w:tcPr>
          <w:p w14:paraId="3E5117F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民办非企业单位登记管理暂行条例》（国务院令第251号）第十六条：民办非企业单位自行解散的，分立、合并的，或者由于其他原因需要注销登记的，应当向登记管理机关办理注销登记。民办非企业单位在办理注销登记前，应当在业务主管单位和其他有关机关的指导下，成立清算组织，完成清算工作。清算期间，民办非企业单位不得开展清算以外的活动。第十七条：民办非企业单位法定代表人或者负责人应当自完成清算之日起15日内，向登记管理机关办理注销登记。办理注销登记，须提交注销登记申请书、业务主管单位的审查文件和清算报告。登记管理机关准予注销登记的，发给注销证明文件，收缴登记证书、印章和财务凭证。 2.《安徽省人民政府关于贯彻落实国务院第二批清理规范行政审批中介服务事项的通知》（皖政〔2016〕65号）附件目录第9项：民办非企业单位注销清算报告审计。不再要求申请人提供清算审计报告，改由审批部门委托有关机构开展民办非企业单位注销清算审计。</w:t>
            </w:r>
          </w:p>
        </w:tc>
        <w:tc>
          <w:tcPr>
            <w:tcW w:w="1302" w:type="dxa"/>
            <w:noWrap w:val="0"/>
            <w:vAlign w:val="center"/>
          </w:tcPr>
          <w:p w14:paraId="6F5A988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民办非企业单位成立、变更、注销登记及修改章程核准</w:t>
            </w:r>
          </w:p>
        </w:tc>
        <w:tc>
          <w:tcPr>
            <w:tcW w:w="1076" w:type="dxa"/>
            <w:noWrap w:val="0"/>
            <w:vAlign w:val="center"/>
          </w:tcPr>
          <w:p w14:paraId="432D416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具有法定资格的验资机构、会计师事务所</w:t>
            </w:r>
          </w:p>
        </w:tc>
        <w:tc>
          <w:tcPr>
            <w:tcW w:w="2288" w:type="dxa"/>
            <w:noWrap w:val="0"/>
            <w:vAlign w:val="center"/>
          </w:tcPr>
          <w:p w14:paraId="4A395E8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注册会计师法》第三条：会计师事务所是依法设立并承办注册会计师业务的机构。注册会计师执行业务，应当加入会计师事务所。第十四条：注册会计师承办下列审计业务：（一）审查企业会计报表，出具审计报告；（二）验证企业资本，出具验资报告；（三）办理企业合并、分立、清算事宜中的审计业务，出具有关的报告；（四）法律、行政法规规定的其他审计业务。注册会计师依法执行审计业务出具的报告，具有证明效力。</w:t>
            </w:r>
          </w:p>
        </w:tc>
        <w:tc>
          <w:tcPr>
            <w:tcW w:w="1236" w:type="dxa"/>
            <w:noWrap w:val="0"/>
            <w:vAlign w:val="center"/>
          </w:tcPr>
          <w:p w14:paraId="5CE358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市场自主调节价格</w:t>
            </w:r>
          </w:p>
        </w:tc>
        <w:tc>
          <w:tcPr>
            <w:tcW w:w="817" w:type="dxa"/>
            <w:noWrap w:val="0"/>
            <w:vAlign w:val="center"/>
          </w:tcPr>
          <w:p w14:paraId="4FB7AE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保留</w:t>
            </w:r>
          </w:p>
        </w:tc>
        <w:tc>
          <w:tcPr>
            <w:tcW w:w="978" w:type="dxa"/>
            <w:noWrap w:val="0"/>
            <w:vAlign w:val="center"/>
          </w:tcPr>
          <w:p w14:paraId="0316815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行政机关</w:t>
            </w:r>
          </w:p>
        </w:tc>
        <w:tc>
          <w:tcPr>
            <w:tcW w:w="889" w:type="dxa"/>
            <w:noWrap w:val="0"/>
            <w:vAlign w:val="center"/>
          </w:tcPr>
          <w:p w14:paraId="79FDE9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p>
        </w:tc>
      </w:tr>
      <w:tr w14:paraId="0A7B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noWrap w:val="0"/>
            <w:vAlign w:val="center"/>
          </w:tcPr>
          <w:p w14:paraId="22B5D8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963" w:type="dxa"/>
            <w:noWrap w:val="0"/>
            <w:vAlign w:val="center"/>
          </w:tcPr>
          <w:p w14:paraId="2454D5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社会团体法定代表人离任审计</w:t>
            </w:r>
          </w:p>
        </w:tc>
        <w:tc>
          <w:tcPr>
            <w:tcW w:w="4511" w:type="dxa"/>
            <w:noWrap w:val="0"/>
            <w:vAlign w:val="center"/>
          </w:tcPr>
          <w:p w14:paraId="0589BC9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社会团体登记管理条例》（国务院令第250号）第三十条：社会团体必须执行国家规定的财务管理制度，接受财政部门的监督;资产来源属于国家拨款或者社会捐赠、资助的，还应当接受审计机关的监督。社会团体在换届或者更换法定代表人之前，登记管理机关、业务主管单位应当组织对其进行财务审计。 2.《安徽省人民政府关于贯彻落实国务院第二批清理规范行政审批中介服务事项的通知》（皖政〔2016〕65号）附件目录第6项：社会团体法定代表人离任审计。不再要求申请人提供法定代表人离任审计报告，改由审批部门委托有关机构开展社会团体法定代表人离任审计。</w:t>
            </w:r>
          </w:p>
        </w:tc>
        <w:tc>
          <w:tcPr>
            <w:tcW w:w="1302" w:type="dxa"/>
            <w:noWrap w:val="0"/>
            <w:vAlign w:val="center"/>
          </w:tcPr>
          <w:p w14:paraId="0FF08DC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社会团体成立、变更、注销登记及修改章程核准</w:t>
            </w:r>
          </w:p>
        </w:tc>
        <w:tc>
          <w:tcPr>
            <w:tcW w:w="1076" w:type="dxa"/>
            <w:noWrap w:val="0"/>
            <w:vAlign w:val="center"/>
          </w:tcPr>
          <w:p w14:paraId="5AA7282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具有法定资格的验资机构、会计师事务所</w:t>
            </w:r>
          </w:p>
        </w:tc>
        <w:tc>
          <w:tcPr>
            <w:tcW w:w="2288" w:type="dxa"/>
            <w:noWrap w:val="0"/>
            <w:vAlign w:val="center"/>
          </w:tcPr>
          <w:p w14:paraId="3BA4030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中华人民共和国注册会计师法》第三条：会计师事务所是依法设立并承办注册会计师业务的机构。注册会计师执行业务，应当加入会计师事务所。第十四条：注册会计师承办下列审计业务：（一）审查企业会计报表，出具审计报告；（二）验证企业资本，出具验资报告；（三）办理企业合并、分立、清算事宜中的审计业务，出具有关的报告；（四）法律、行政法规规定的其他审计业务。注册会计师依法执行审计业务出具的报告，具有证明效力。</w:t>
            </w:r>
          </w:p>
        </w:tc>
        <w:tc>
          <w:tcPr>
            <w:tcW w:w="1236" w:type="dxa"/>
            <w:noWrap w:val="0"/>
            <w:vAlign w:val="center"/>
          </w:tcPr>
          <w:p w14:paraId="28706F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市场自主调节价格</w:t>
            </w:r>
          </w:p>
        </w:tc>
        <w:tc>
          <w:tcPr>
            <w:tcW w:w="817" w:type="dxa"/>
            <w:noWrap w:val="0"/>
            <w:vAlign w:val="center"/>
          </w:tcPr>
          <w:p w14:paraId="2B2B85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保留</w:t>
            </w:r>
          </w:p>
        </w:tc>
        <w:tc>
          <w:tcPr>
            <w:tcW w:w="978" w:type="dxa"/>
            <w:noWrap w:val="0"/>
            <w:vAlign w:val="center"/>
          </w:tcPr>
          <w:p w14:paraId="653E87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行政机关</w:t>
            </w:r>
          </w:p>
        </w:tc>
        <w:tc>
          <w:tcPr>
            <w:tcW w:w="889" w:type="dxa"/>
            <w:noWrap w:val="0"/>
            <w:vAlign w:val="center"/>
          </w:tcPr>
          <w:p w14:paraId="342955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p>
        </w:tc>
      </w:tr>
      <w:tr w14:paraId="2797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noWrap w:val="0"/>
            <w:vAlign w:val="center"/>
          </w:tcPr>
          <w:p w14:paraId="2F05B5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963" w:type="dxa"/>
            <w:noWrap w:val="0"/>
            <w:vAlign w:val="center"/>
          </w:tcPr>
          <w:p w14:paraId="4001B8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民办非企业单位法定代表人离任审计</w:t>
            </w:r>
          </w:p>
        </w:tc>
        <w:tc>
          <w:tcPr>
            <w:tcW w:w="4511" w:type="dxa"/>
            <w:noWrap w:val="0"/>
            <w:vAlign w:val="center"/>
          </w:tcPr>
          <w:p w14:paraId="099270F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民办非企业单位登记管理暂行条例》（国务院令第251号）第二十二条：民办非企业单位必须执行国家规定的财务管理制度，接受财政部门的监督；资产来源属于国家资助或者社会捐赠、资助的，还应当接受审计机关的监督。民办非企业单位变更法定代表人或者负责人，登记管理机关、业务主管单位应当组织对其进行财务审计。 2.《安徽省人民政府关于贯彻落实国务院第二批清理规范行政审批中介服务事项的通知》（皖政〔2016〕65号）附件目录第8项：民办非企业单位法定代表人离任审计。不再要求申请人提供法定代表人离任审计报告，改由审批部门委托有关机构开展民办非企业单位法定代表人离任审计。</w:t>
            </w:r>
          </w:p>
        </w:tc>
        <w:tc>
          <w:tcPr>
            <w:tcW w:w="1302" w:type="dxa"/>
            <w:noWrap w:val="0"/>
            <w:vAlign w:val="center"/>
          </w:tcPr>
          <w:p w14:paraId="23828BB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民办非企业单位成立、变更、注销登记及修改章程核准</w:t>
            </w:r>
          </w:p>
        </w:tc>
        <w:tc>
          <w:tcPr>
            <w:tcW w:w="1076" w:type="dxa"/>
            <w:noWrap w:val="0"/>
            <w:vAlign w:val="center"/>
          </w:tcPr>
          <w:p w14:paraId="0C073F8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具有法定资格的验资机构、会计师事务所</w:t>
            </w:r>
          </w:p>
        </w:tc>
        <w:tc>
          <w:tcPr>
            <w:tcW w:w="2288" w:type="dxa"/>
            <w:noWrap w:val="0"/>
            <w:vAlign w:val="center"/>
          </w:tcPr>
          <w:p w14:paraId="287DDCF3">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rPr>
              <w:t>《中华人民共和国注册会计师法》第三条：会计师事务所是依法设立并承办注册会计师业务的机构。注册会计师执行业务，应当加入会计师事务所。第十四条：注册会计师承办下列审计业务：（一）审查企业会计报表，出具审计报告；（二）验证企业资本，出具验资报告；（三）办理企业合并、分立、清算事宜中的审计业务，出具有关的报告；（四）法律、行政法规规定的其他审计业务。注册会计师依法执行审计业务出具的报告，具有证明效力。</w:t>
            </w:r>
          </w:p>
        </w:tc>
        <w:tc>
          <w:tcPr>
            <w:tcW w:w="1236" w:type="dxa"/>
            <w:noWrap w:val="0"/>
            <w:vAlign w:val="center"/>
          </w:tcPr>
          <w:p w14:paraId="5A191B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市场自主调节价格</w:t>
            </w:r>
          </w:p>
        </w:tc>
        <w:tc>
          <w:tcPr>
            <w:tcW w:w="817" w:type="dxa"/>
            <w:noWrap w:val="0"/>
            <w:vAlign w:val="center"/>
          </w:tcPr>
          <w:p w14:paraId="4B52C4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保留</w:t>
            </w:r>
          </w:p>
        </w:tc>
        <w:tc>
          <w:tcPr>
            <w:tcW w:w="978" w:type="dxa"/>
            <w:noWrap w:val="0"/>
            <w:vAlign w:val="center"/>
          </w:tcPr>
          <w:p w14:paraId="3260B6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行政机关</w:t>
            </w:r>
          </w:p>
        </w:tc>
        <w:tc>
          <w:tcPr>
            <w:tcW w:w="889" w:type="dxa"/>
            <w:noWrap w:val="0"/>
            <w:vAlign w:val="center"/>
          </w:tcPr>
          <w:p w14:paraId="39C3B4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p>
        </w:tc>
      </w:tr>
      <w:tr w14:paraId="1575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noWrap w:val="0"/>
            <w:vAlign w:val="center"/>
          </w:tcPr>
          <w:p w14:paraId="3099A0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963" w:type="dxa"/>
            <w:noWrap w:val="0"/>
            <w:vAlign w:val="center"/>
          </w:tcPr>
          <w:p w14:paraId="3B0068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社会团体登记验资</w:t>
            </w:r>
          </w:p>
        </w:tc>
        <w:tc>
          <w:tcPr>
            <w:tcW w:w="4511" w:type="dxa"/>
            <w:noWrap w:val="0"/>
            <w:vAlign w:val="center"/>
          </w:tcPr>
          <w:tbl>
            <w:tblPr>
              <w:tblStyle w:val="3"/>
              <w:tblW w:w="852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718A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597B4864">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t>1.《社会团体登记管理条例》（国务院令第250号）第十一条：申请登记社会团体，发起人应当向登记管理机关提交下列文件：(三) 验资报告、场所使用权证明； 2.《全省性社会团体变更登记指南》：（二）网上申请（5）全省性社会团体注册资金变更登记：上传验资报告的照片或电子扫描件</w:t>
                  </w:r>
                </w:p>
              </w:tc>
            </w:tr>
            <w:tr w14:paraId="7006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noWrap w:val="0"/>
                  <w:vAlign w:val="top"/>
                </w:tcPr>
                <w:p w14:paraId="40349B21">
                  <w:pPr>
                    <w:rPr>
                      <w:rFonts w:hint="eastAsia" w:ascii="宋体" w:hAnsi="宋体" w:eastAsia="宋体" w:cs="宋体"/>
                      <w:i w:val="0"/>
                      <w:iCs w:val="0"/>
                      <w:caps w:val="0"/>
                      <w:color w:val="606266"/>
                      <w:spacing w:val="0"/>
                      <w:sz w:val="21"/>
                      <w:szCs w:val="21"/>
                      <w:vertAlign w:val="baseline"/>
                    </w:rPr>
                  </w:pPr>
                </w:p>
              </w:tc>
            </w:tr>
          </w:tbl>
          <w:p w14:paraId="389FA62F">
            <w:pPr>
              <w:keepNext w:val="0"/>
              <w:keepLines w:val="0"/>
              <w:widowControl/>
              <w:suppressLineNumbers w:val="0"/>
              <w:jc w:val="left"/>
              <w:rPr>
                <w:rFonts w:hint="eastAsia" w:ascii="宋体" w:hAnsi="宋体" w:eastAsia="宋体" w:cs="宋体"/>
                <w:sz w:val="21"/>
                <w:szCs w:val="21"/>
              </w:rPr>
            </w:pPr>
          </w:p>
          <w:p w14:paraId="52153A2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p>
        </w:tc>
        <w:tc>
          <w:tcPr>
            <w:tcW w:w="1302"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1C4C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271C7CD9">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sz w:val="21"/>
                      <w:szCs w:val="21"/>
                    </w:rPr>
                  </w:pPr>
                </w:p>
              </w:tc>
            </w:tr>
          </w:tbl>
          <w:p w14:paraId="4D5B4EF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社会团体成立、变更、注销登记及修改章程核准</w:t>
            </w:r>
          </w:p>
        </w:tc>
        <w:tc>
          <w:tcPr>
            <w:tcW w:w="1076" w:type="dxa"/>
            <w:noWrap w:val="0"/>
            <w:vAlign w:val="center"/>
          </w:tcPr>
          <w:tbl>
            <w:tblPr>
              <w:tblStyle w:val="3"/>
              <w:tblW w:w="8520"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157D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777C21AE">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p>
              </w:tc>
            </w:tr>
            <w:tr w14:paraId="15E3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noWrap w:val="0"/>
                  <w:vAlign w:val="top"/>
                </w:tcPr>
                <w:p w14:paraId="11017BBD">
                  <w:pPr>
                    <w:rPr>
                      <w:rFonts w:hint="eastAsia" w:ascii="宋体" w:hAnsi="宋体" w:eastAsia="宋体" w:cs="宋体"/>
                      <w:i w:val="0"/>
                      <w:iCs w:val="0"/>
                      <w:caps w:val="0"/>
                      <w:color w:val="606266"/>
                      <w:spacing w:val="0"/>
                      <w:sz w:val="21"/>
                      <w:szCs w:val="21"/>
                      <w:vertAlign w:val="baseline"/>
                    </w:rPr>
                  </w:pPr>
                </w:p>
              </w:tc>
            </w:tr>
          </w:tbl>
          <w:p w14:paraId="0AB0E16E">
            <w:pPr>
              <w:keepNext w:val="0"/>
              <w:keepLines w:val="0"/>
              <w:widowControl/>
              <w:suppressLineNumbers w:val="0"/>
              <w:jc w:val="left"/>
              <w:rPr>
                <w:rFonts w:hint="eastAsia" w:ascii="宋体" w:hAnsi="宋体" w:eastAsia="宋体" w:cs="宋体"/>
                <w:sz w:val="21"/>
                <w:szCs w:val="21"/>
              </w:rPr>
            </w:pPr>
          </w:p>
          <w:p w14:paraId="3393FD8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具有法定资格的验资机构、会计师事务所</w:t>
            </w:r>
          </w:p>
        </w:tc>
        <w:tc>
          <w:tcPr>
            <w:tcW w:w="2288" w:type="dxa"/>
            <w:noWrap w:val="0"/>
            <w:vAlign w:val="center"/>
          </w:tcPr>
          <w:p w14:paraId="7CBD390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rPr>
              <w:t>《中华人民共和国注册会计师法》第三条：会计师事务所是依法设立并承办注册会计师业务的机构。注册会计师执行业务，应当加入会计师事务所。第十四条：注册会计师承办下列审计业务：（一）审查企业会计报表，出具审计报告；（二）验证企业资本，出具验资报告；（三）办理企业合并、分立、清算事宜中的审计业务，出具有关的报告；（四）法律、行政法规规定的其他审计业务。注册会计师依法执行审计业务出具的报告，具有证明效力。</w:t>
            </w:r>
          </w:p>
        </w:tc>
        <w:tc>
          <w:tcPr>
            <w:tcW w:w="1236" w:type="dxa"/>
            <w:noWrap w:val="0"/>
            <w:vAlign w:val="center"/>
          </w:tcPr>
          <w:p w14:paraId="7DD10F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市场自主调节价格</w:t>
            </w:r>
          </w:p>
        </w:tc>
        <w:tc>
          <w:tcPr>
            <w:tcW w:w="817" w:type="dxa"/>
            <w:noWrap w:val="0"/>
            <w:vAlign w:val="center"/>
          </w:tcPr>
          <w:p w14:paraId="333692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保留</w:t>
            </w:r>
          </w:p>
        </w:tc>
        <w:tc>
          <w:tcPr>
            <w:tcW w:w="978" w:type="dxa"/>
            <w:noWrap w:val="0"/>
            <w:vAlign w:val="center"/>
          </w:tcPr>
          <w:p w14:paraId="617F27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行政机关</w:t>
            </w:r>
          </w:p>
        </w:tc>
        <w:tc>
          <w:tcPr>
            <w:tcW w:w="889" w:type="dxa"/>
            <w:noWrap w:val="0"/>
            <w:vAlign w:val="center"/>
          </w:tcPr>
          <w:p w14:paraId="76975D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p>
        </w:tc>
      </w:tr>
      <w:tr w14:paraId="66EB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noWrap w:val="0"/>
            <w:vAlign w:val="center"/>
          </w:tcPr>
          <w:p w14:paraId="5C816A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963"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26DE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2CD5C31E">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r>
                    <w:rPr>
                      <w:rFonts w:hint="eastAsia" w:ascii="宋体" w:hAnsi="宋体" w:eastAsia="宋体" w:cs="宋体"/>
                      <w:i w:val="0"/>
                      <w:iCs w:val="0"/>
                      <w:caps w:val="0"/>
                      <w:color w:val="606266"/>
                      <w:spacing w:val="0"/>
                      <w:kern w:val="0"/>
                      <w:sz w:val="21"/>
                      <w:szCs w:val="21"/>
                      <w:vertAlign w:val="baseline"/>
                      <w:lang w:val="en-US" w:eastAsia="zh-CN" w:bidi="ar"/>
                    </w:rPr>
                    <w:t>社会团体换届审计</w:t>
                  </w:r>
                </w:p>
              </w:tc>
            </w:tr>
          </w:tbl>
          <w:p w14:paraId="1D50B5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p>
        </w:tc>
        <w:tc>
          <w:tcPr>
            <w:tcW w:w="4511" w:type="dxa"/>
            <w:noWrap w:val="0"/>
            <w:vAlign w:val="center"/>
          </w:tcPr>
          <w:p w14:paraId="70D82B2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1.《社会团体登记管理条例》（国务院令第250号发布，国务院令第666号修订）第二十七条第二款 社会团体在换届或者更换法定代表人之前，登记管理机关、业务主管单位应当组织对其进行财务审计。 2.《全省性社会团体变更登记指南》注：全省性社会团体换届，网上申请，提交的材料包括：上传上一届财务审计报告的照片或电子扫描件。</w:t>
            </w:r>
          </w:p>
        </w:tc>
        <w:tc>
          <w:tcPr>
            <w:tcW w:w="1302" w:type="dxa"/>
            <w:noWrap w:val="0"/>
            <w:vAlign w:val="center"/>
          </w:tcPr>
          <w:p w14:paraId="18027A72">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社会团体成立、变更、注销登记及修改章程核准</w:t>
            </w:r>
          </w:p>
        </w:tc>
        <w:tc>
          <w:tcPr>
            <w:tcW w:w="1076" w:type="dxa"/>
            <w:noWrap w:val="0"/>
            <w:vAlign w:val="center"/>
          </w:tcPr>
          <w:p w14:paraId="377BCF2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具有法定资格的验资机构、会计师事务所</w:t>
            </w:r>
          </w:p>
        </w:tc>
        <w:tc>
          <w:tcPr>
            <w:tcW w:w="2288" w:type="dxa"/>
            <w:noWrap w:val="0"/>
            <w:vAlign w:val="center"/>
          </w:tcPr>
          <w:p w14:paraId="056F9E8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rPr>
              <w:t>《中华人民共和国注册会计师法》第三条：会计师事务所是依法设立并承办注册会计师业务的机构。注册会计师执行业务，应当加入会计师事务所。第十四条：注册会计师承办下列审计业务：（一）审查企业会计报表，出具审计报告；（二）验证企业资本，出具验资报告；（三）办理企业合并、分立、清算事宜中的审计业务，出具有关的报告；（四）法律、行政法规规定的其他审计业务。注册会计师依法执行审计业务出具的报告，具有证明效力。</w:t>
            </w:r>
          </w:p>
        </w:tc>
        <w:tc>
          <w:tcPr>
            <w:tcW w:w="1236" w:type="dxa"/>
            <w:noWrap w:val="0"/>
            <w:vAlign w:val="center"/>
          </w:tcPr>
          <w:p w14:paraId="7CF1B6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市场自主调节价格</w:t>
            </w:r>
          </w:p>
        </w:tc>
        <w:tc>
          <w:tcPr>
            <w:tcW w:w="817" w:type="dxa"/>
            <w:noWrap w:val="0"/>
            <w:vAlign w:val="center"/>
          </w:tcPr>
          <w:p w14:paraId="0E44FD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保留</w:t>
            </w:r>
          </w:p>
        </w:tc>
        <w:tc>
          <w:tcPr>
            <w:tcW w:w="978" w:type="dxa"/>
            <w:noWrap w:val="0"/>
            <w:vAlign w:val="center"/>
          </w:tcPr>
          <w:p w14:paraId="606B7B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行政机关</w:t>
            </w:r>
          </w:p>
        </w:tc>
        <w:tc>
          <w:tcPr>
            <w:tcW w:w="889" w:type="dxa"/>
            <w:noWrap w:val="0"/>
            <w:vAlign w:val="center"/>
          </w:tcPr>
          <w:p w14:paraId="0B6229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p>
        </w:tc>
      </w:tr>
      <w:tr w14:paraId="673B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noWrap w:val="0"/>
            <w:vAlign w:val="center"/>
          </w:tcPr>
          <w:p w14:paraId="73FAD8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963" w:type="dxa"/>
            <w:noWrap w:val="0"/>
            <w:vAlign w:val="center"/>
          </w:tcPr>
          <w:p w14:paraId="7BEFFC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民办非企业单位登记验资</w:t>
            </w:r>
          </w:p>
        </w:tc>
        <w:tc>
          <w:tcPr>
            <w:tcW w:w="4511" w:type="dxa"/>
            <w:noWrap w:val="0"/>
            <w:vAlign w:val="center"/>
          </w:tcPr>
          <w:p w14:paraId="629CD04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r>
              <w:rPr>
                <w:rFonts w:hint="eastAsia" w:ascii="宋体" w:hAnsi="宋体" w:eastAsia="宋体" w:cs="宋体"/>
                <w:i w:val="0"/>
                <w:iCs w:val="0"/>
                <w:caps w:val="0"/>
                <w:color w:val="606266"/>
                <w:spacing w:val="0"/>
                <w:sz w:val="21"/>
                <w:szCs w:val="21"/>
                <w:shd w:val="clear" w:color="auto" w:fill="FFFFFF"/>
              </w:rPr>
              <w:t>1.《民办非企业单位登记管理暂行条例》（国务院令第251号）第九条 ：申请民办非企业单位登记，举办者应当向登记管理机关提交下列文件：（四）验资报告； 2.《省属民办非企业单位变更登记指南》（二）办理程序：办理开办资金变更登记的须提供由会计师事务所出具的验资报告</w:t>
            </w:r>
          </w:p>
        </w:tc>
        <w:tc>
          <w:tcPr>
            <w:tcW w:w="1302" w:type="dxa"/>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1AD4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26403AE1">
                  <w:pPr>
                    <w:keepNext w:val="0"/>
                    <w:keepLines w:val="0"/>
                    <w:widowControl/>
                    <w:suppressLineNumbers w:val="0"/>
                    <w:spacing w:before="0" w:beforeAutospacing="0" w:after="0" w:afterAutospacing="0" w:line="23" w:lineRule="atLeast"/>
                    <w:ind w:right="0"/>
                    <w:jc w:val="left"/>
                    <w:textAlignment w:val="baseline"/>
                    <w:rPr>
                      <w:rFonts w:hint="eastAsia" w:ascii="宋体" w:hAnsi="宋体" w:eastAsia="宋体" w:cs="宋体"/>
                      <w:sz w:val="21"/>
                      <w:szCs w:val="21"/>
                    </w:rPr>
                  </w:pPr>
                  <w:r>
                    <w:rPr>
                      <w:rFonts w:hint="eastAsia" w:ascii="宋体" w:hAnsi="宋体" w:eastAsia="宋体" w:cs="宋体"/>
                      <w:i w:val="0"/>
                      <w:iCs w:val="0"/>
                      <w:caps w:val="0"/>
                      <w:color w:val="606266"/>
                      <w:spacing w:val="0"/>
                      <w:sz w:val="21"/>
                      <w:szCs w:val="21"/>
                      <w:shd w:val="clear" w:color="auto" w:fill="FFFFFF"/>
                    </w:rPr>
                    <w:t>民办非企业单位成立、变更、注销登记及修改章程核准</w:t>
                  </w:r>
                </w:p>
              </w:tc>
            </w:tr>
          </w:tbl>
          <w:p w14:paraId="6CC7ED2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sz w:val="21"/>
                <w:szCs w:val="21"/>
                <w:shd w:val="clear" w:color="auto" w:fill="FFFFFF"/>
              </w:rPr>
            </w:pPr>
          </w:p>
        </w:tc>
        <w:tc>
          <w:tcPr>
            <w:tcW w:w="1076" w:type="dxa"/>
            <w:noWrap w:val="0"/>
            <w:vAlign w:val="center"/>
          </w:tcPr>
          <w:p w14:paraId="308E6ED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aps w:val="0"/>
                <w:color w:val="606266"/>
                <w:spacing w:val="0"/>
                <w:sz w:val="21"/>
                <w:szCs w:val="21"/>
                <w:shd w:val="clear" w:color="auto" w:fill="FFFFFF"/>
              </w:rPr>
              <w:t>具有法定资格的验资机构、会计师事务所</w:t>
            </w:r>
          </w:p>
        </w:tc>
        <w:tc>
          <w:tcPr>
            <w:tcW w:w="2288" w:type="dxa"/>
            <w:noWrap w:val="0"/>
            <w:vAlign w:val="center"/>
          </w:tcPr>
          <w:p w14:paraId="4CB58F2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aps w:val="0"/>
                <w:color w:val="606266"/>
                <w:spacing w:val="0"/>
                <w:kern w:val="2"/>
                <w:sz w:val="21"/>
                <w:szCs w:val="21"/>
                <w:shd w:val="clear" w:color="auto" w:fill="FFFFFF"/>
                <w:lang w:val="en-US" w:eastAsia="zh-CN" w:bidi="ar-SA"/>
              </w:rPr>
            </w:pPr>
            <w:r>
              <w:rPr>
                <w:rFonts w:hint="eastAsia" w:ascii="宋体" w:hAnsi="宋体" w:eastAsia="宋体" w:cs="宋体"/>
                <w:i w:val="0"/>
                <w:iCs w:val="0"/>
                <w:caps w:val="0"/>
                <w:color w:val="606266"/>
                <w:spacing w:val="0"/>
                <w:sz w:val="21"/>
                <w:szCs w:val="21"/>
                <w:shd w:val="clear" w:color="auto" w:fill="FFFFFF"/>
              </w:rPr>
              <w:t>《中华人民共和国注册会计师法》第三条：会计师事务所是依法设立并承办注册会计师业务的机构。注册会计师执行业务，应当加入会计师事务所。第十四条：注册会计师承办下列审计业务：（一）审查企业会计报表，出具审计报告；（二）验证企业资本，出具验资报告；（三）办理企业合并、分立、清算事宜中的审计业务，出具有关的报告；（四）法律、行政法规规定的其他审计业务。注册会计师依法执行审计业务出具的报告，具有证明效力。</w:t>
            </w:r>
          </w:p>
        </w:tc>
        <w:tc>
          <w:tcPr>
            <w:tcW w:w="1236" w:type="dxa"/>
            <w:noWrap w:val="0"/>
            <w:vAlign w:val="center"/>
          </w:tcPr>
          <w:p w14:paraId="6A2CCFA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市场自主调节价格</w:t>
            </w:r>
          </w:p>
        </w:tc>
        <w:tc>
          <w:tcPr>
            <w:tcW w:w="817" w:type="dxa"/>
            <w:noWrap w:val="0"/>
            <w:vAlign w:val="center"/>
          </w:tcPr>
          <w:p w14:paraId="048DD8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保留</w:t>
            </w:r>
          </w:p>
        </w:tc>
        <w:tc>
          <w:tcPr>
            <w:tcW w:w="978" w:type="dxa"/>
            <w:noWrap w:val="0"/>
            <w:vAlign w:val="center"/>
          </w:tcPr>
          <w:p w14:paraId="31F58F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行政机关</w:t>
            </w:r>
          </w:p>
        </w:tc>
        <w:tc>
          <w:tcPr>
            <w:tcW w:w="889" w:type="dxa"/>
            <w:noWrap w:val="0"/>
            <w:vAlign w:val="center"/>
          </w:tcPr>
          <w:p w14:paraId="17509A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000000"/>
                <w:kern w:val="0"/>
                <w:sz w:val="21"/>
                <w:szCs w:val="21"/>
                <w:u w:val="none"/>
                <w:lang w:val="en-US" w:eastAsia="zh-CN" w:bidi="ar"/>
              </w:rPr>
            </w:pPr>
          </w:p>
        </w:tc>
      </w:tr>
    </w:tbl>
    <w:p w14:paraId="0ACC773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000000"/>
          <w:sz w:val="30"/>
          <w:szCs w:val="30"/>
          <w:lang w:val="en-US" w:eastAsia="zh-CN"/>
        </w:rPr>
      </w:pPr>
    </w:p>
    <w:p w14:paraId="2B6DD99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sz w:val="32"/>
          <w:szCs w:val="32"/>
          <w:lang w:val="en-US" w:eastAsia="zh-CN"/>
        </w:rPr>
      </w:pPr>
    </w:p>
    <w:p w14:paraId="5700A26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sz w:val="32"/>
          <w:szCs w:val="32"/>
          <w:lang w:val="en-US" w:eastAsia="zh-CN"/>
        </w:rPr>
      </w:pPr>
    </w:p>
    <w:p w14:paraId="2051716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sz w:val="44"/>
          <w:szCs w:val="44"/>
          <w:lang w:val="en-US" w:eastAsia="zh-CN"/>
        </w:rPr>
      </w:pPr>
    </w:p>
    <w:p w14:paraId="48E47EB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val="en-US" w:eastAsia="zh-CN"/>
        </w:rPr>
      </w:pPr>
    </w:p>
    <w:p w14:paraId="61FA303D">
      <w:bookmarkStart w:id="0" w:name="_GoBack"/>
      <w:bookmarkEnd w:id="0"/>
    </w:p>
    <w:sectPr>
      <w:headerReference r:id="rId3" w:type="default"/>
      <w:footerReference r:id="rId4" w:type="default"/>
      <w:pgSz w:w="16838" w:h="11906" w:orient="landscape"/>
      <w:pgMar w:top="1531" w:right="2041" w:bottom="153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97E28">
    <w:pPr>
      <w:rPr>
        <w:rFonts w:hint="eastAsia" w:eastAsia="宋体"/>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B873C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14:paraId="17B873C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103F">
    <w:pPr>
      <w:spacing w:line="12"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65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2026-01-30T08:36:25Z</dcterms:created>
  <dc:creator>Administrator</dc:creator>
  <cp:lastModifiedBy>蓝</cp:lastModifiedBy>
  <dcterms:modified xsi:type="dcterms:W3CDTF">2026-01-30T08:36:29Z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eyJoZGlkIjoiODMxNjdmZWEwYjZkMzQwOWIzNDZlMTY1ZTM3OWM0YTUiLCJ1c2VySWQiOiI2MTg0ODQ0NTQifQ==</vt:lpwstr>
  </property>
  <property fmtid="{D5CDD505-2E9C-101B-9397-08002B2CF9AE}" pid="4" name="ICV">
    <vt:lpwstr>5FEF32E2768A498998A6DEB463ABE3B5_12</vt:lpwstr>
  </property>
</Properties>
</file>